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一、秦皇岛经济技术开发区建设项目评审中心(本级)收支预算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一、秦皇岛经济技术开发区建设项目评审中心(本级)收支预算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381.18</w:t>
            </w:r>
          </w:p>
        </w:tc>
        <w:tc>
          <w:tcPr>
            <w:tcW w:w="4535" w:type="dxa"/>
            <w:vAlign w:val="center"/>
          </w:tcPr>
          <w:p>
            <w:pPr>
              <w:pStyle w:val="12"/>
            </w:pPr>
            <w:r>
              <w:t>一、一般公共服务支出</w:t>
            </w:r>
          </w:p>
        </w:tc>
        <w:tc>
          <w:tcPr>
            <w:tcW w:w="2126" w:type="dxa"/>
            <w:vAlign w:val="center"/>
          </w:tcPr>
          <w:p>
            <w:pPr>
              <w:pStyle w:val="11"/>
            </w:pPr>
            <w:r>
              <w:t>354.13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381.18</w:t>
            </w:r>
          </w:p>
        </w:tc>
        <w:tc>
          <w:tcPr>
            <w:tcW w:w="4535" w:type="dxa"/>
            <w:vAlign w:val="center"/>
          </w:tcPr>
          <w:p>
            <w:pPr>
              <w:pStyle w:val="14"/>
            </w:pPr>
            <w:r>
              <w:t>本年支出合计</w:t>
            </w:r>
          </w:p>
        </w:tc>
        <w:tc>
          <w:tcPr>
            <w:tcW w:w="2126" w:type="dxa"/>
            <w:vAlign w:val="center"/>
          </w:tcPr>
          <w:p>
            <w:pPr>
              <w:pStyle w:val="15"/>
            </w:pPr>
            <w:r>
              <w:t>381.18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381.18</w:t>
            </w:r>
          </w:p>
        </w:tc>
        <w:tc>
          <w:tcPr>
            <w:tcW w:w="4535" w:type="dxa"/>
            <w:vAlign w:val="center"/>
          </w:tcPr>
          <w:p>
            <w:pPr>
              <w:pStyle w:val="14"/>
            </w:pPr>
            <w:r>
              <w:t>支出总计</w:t>
            </w:r>
          </w:p>
        </w:tc>
        <w:tc>
          <w:tcPr>
            <w:tcW w:w="2126" w:type="dxa"/>
            <w:vAlign w:val="center"/>
          </w:tcPr>
          <w:p>
            <w:pPr>
              <w:pStyle w:val="15"/>
            </w:pPr>
            <w:r>
              <w:t>381.18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381.18</w:t>
            </w:r>
          </w:p>
        </w:tc>
        <w:tc>
          <w:tcPr>
            <w:tcW w:w="1134" w:type="dxa"/>
            <w:vAlign w:val="center"/>
          </w:tcPr>
          <w:p>
            <w:pPr>
              <w:pStyle w:val="15"/>
            </w:pPr>
            <w:r>
              <w:t>381.18</w:t>
            </w:r>
          </w:p>
        </w:tc>
        <w:tc>
          <w:tcPr>
            <w:tcW w:w="1134" w:type="dxa"/>
            <w:vAlign w:val="center"/>
          </w:tcPr>
          <w:p>
            <w:pPr>
              <w:pStyle w:val="15"/>
            </w:pPr>
            <w:r>
              <w:t>381.18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354.13</w:t>
            </w:r>
          </w:p>
        </w:tc>
        <w:tc>
          <w:tcPr>
            <w:tcW w:w="1134" w:type="dxa"/>
            <w:vAlign w:val="center"/>
          </w:tcPr>
          <w:p>
            <w:pPr>
              <w:pStyle w:val="11"/>
            </w:pPr>
            <w:r>
              <w:t>354.13</w:t>
            </w:r>
          </w:p>
        </w:tc>
        <w:tc>
          <w:tcPr>
            <w:tcW w:w="1134" w:type="dxa"/>
            <w:vAlign w:val="center"/>
          </w:tcPr>
          <w:p>
            <w:pPr>
              <w:pStyle w:val="11"/>
            </w:pPr>
            <w:r>
              <w:t>354.13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20106</w:t>
            </w:r>
          </w:p>
        </w:tc>
        <w:tc>
          <w:tcPr>
            <w:tcW w:w="1559" w:type="dxa"/>
            <w:vAlign w:val="center"/>
          </w:tcPr>
          <w:p>
            <w:pPr>
              <w:pStyle w:val="12"/>
            </w:pPr>
            <w:r>
              <w:t>财政事务</w:t>
            </w:r>
          </w:p>
        </w:tc>
        <w:tc>
          <w:tcPr>
            <w:tcW w:w="1134" w:type="dxa"/>
            <w:vAlign w:val="center"/>
          </w:tcPr>
          <w:p>
            <w:pPr>
              <w:pStyle w:val="11"/>
            </w:pPr>
            <w:r>
              <w:t>286.40</w:t>
            </w:r>
          </w:p>
        </w:tc>
        <w:tc>
          <w:tcPr>
            <w:tcW w:w="1134" w:type="dxa"/>
            <w:vAlign w:val="center"/>
          </w:tcPr>
          <w:p>
            <w:pPr>
              <w:pStyle w:val="11"/>
            </w:pPr>
            <w:r>
              <w:t>286.40</w:t>
            </w:r>
          </w:p>
        </w:tc>
        <w:tc>
          <w:tcPr>
            <w:tcW w:w="1134" w:type="dxa"/>
            <w:vAlign w:val="center"/>
          </w:tcPr>
          <w:p>
            <w:pPr>
              <w:pStyle w:val="11"/>
            </w:pPr>
            <w:r>
              <w:t>286.40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2010608</w:t>
            </w:r>
          </w:p>
        </w:tc>
        <w:tc>
          <w:tcPr>
            <w:tcW w:w="1559" w:type="dxa"/>
            <w:vAlign w:val="center"/>
          </w:tcPr>
          <w:p>
            <w:pPr>
              <w:pStyle w:val="12"/>
            </w:pPr>
            <w:r>
              <w:t>财政委托业务支出</w:t>
            </w:r>
          </w:p>
        </w:tc>
        <w:tc>
          <w:tcPr>
            <w:tcW w:w="1134" w:type="dxa"/>
            <w:vAlign w:val="center"/>
          </w:tcPr>
          <w:p>
            <w:pPr>
              <w:pStyle w:val="11"/>
            </w:pPr>
            <w:r>
              <w:t>286.40</w:t>
            </w:r>
          </w:p>
        </w:tc>
        <w:tc>
          <w:tcPr>
            <w:tcW w:w="1134" w:type="dxa"/>
            <w:vAlign w:val="center"/>
          </w:tcPr>
          <w:p>
            <w:pPr>
              <w:pStyle w:val="11"/>
            </w:pPr>
            <w:r>
              <w:t>286.40</w:t>
            </w:r>
          </w:p>
        </w:tc>
        <w:tc>
          <w:tcPr>
            <w:tcW w:w="1134" w:type="dxa"/>
            <w:vAlign w:val="center"/>
          </w:tcPr>
          <w:p>
            <w:pPr>
              <w:pStyle w:val="11"/>
            </w:pPr>
            <w:r>
              <w:t>286.40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67.73</w:t>
            </w:r>
          </w:p>
        </w:tc>
        <w:tc>
          <w:tcPr>
            <w:tcW w:w="1134" w:type="dxa"/>
            <w:vAlign w:val="center"/>
          </w:tcPr>
          <w:p>
            <w:pPr>
              <w:pStyle w:val="11"/>
            </w:pPr>
            <w:r>
              <w:t>67.73</w:t>
            </w:r>
          </w:p>
        </w:tc>
        <w:tc>
          <w:tcPr>
            <w:tcW w:w="1134" w:type="dxa"/>
            <w:vAlign w:val="center"/>
          </w:tcPr>
          <w:p>
            <w:pPr>
              <w:pStyle w:val="11"/>
            </w:pPr>
            <w:r>
              <w:t>67.73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2010850</w:t>
            </w:r>
          </w:p>
        </w:tc>
        <w:tc>
          <w:tcPr>
            <w:tcW w:w="1559" w:type="dxa"/>
            <w:vAlign w:val="center"/>
          </w:tcPr>
          <w:p>
            <w:pPr>
              <w:pStyle w:val="12"/>
            </w:pPr>
            <w:r>
              <w:t>事业运行</w:t>
            </w:r>
          </w:p>
        </w:tc>
        <w:tc>
          <w:tcPr>
            <w:tcW w:w="1134" w:type="dxa"/>
            <w:vAlign w:val="center"/>
          </w:tcPr>
          <w:p>
            <w:pPr>
              <w:pStyle w:val="11"/>
            </w:pPr>
            <w:r>
              <w:t>67.73</w:t>
            </w:r>
          </w:p>
        </w:tc>
        <w:tc>
          <w:tcPr>
            <w:tcW w:w="1134" w:type="dxa"/>
            <w:vAlign w:val="center"/>
          </w:tcPr>
          <w:p>
            <w:pPr>
              <w:pStyle w:val="11"/>
            </w:pPr>
            <w:r>
              <w:t>67.73</w:t>
            </w:r>
          </w:p>
        </w:tc>
        <w:tc>
          <w:tcPr>
            <w:tcW w:w="1134" w:type="dxa"/>
            <w:vAlign w:val="center"/>
          </w:tcPr>
          <w:p>
            <w:pPr>
              <w:pStyle w:val="11"/>
            </w:pPr>
            <w:r>
              <w:t>67.73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12.87</w:t>
            </w:r>
          </w:p>
        </w:tc>
        <w:tc>
          <w:tcPr>
            <w:tcW w:w="1134" w:type="dxa"/>
            <w:vAlign w:val="center"/>
          </w:tcPr>
          <w:p>
            <w:pPr>
              <w:pStyle w:val="11"/>
            </w:pPr>
            <w:r>
              <w:t>12.87</w:t>
            </w:r>
          </w:p>
        </w:tc>
        <w:tc>
          <w:tcPr>
            <w:tcW w:w="1134" w:type="dxa"/>
            <w:vAlign w:val="center"/>
          </w:tcPr>
          <w:p>
            <w:pPr>
              <w:pStyle w:val="11"/>
            </w:pPr>
            <w:r>
              <w:t>12.87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12.87</w:t>
            </w:r>
          </w:p>
        </w:tc>
        <w:tc>
          <w:tcPr>
            <w:tcW w:w="1134" w:type="dxa"/>
            <w:vAlign w:val="center"/>
          </w:tcPr>
          <w:p>
            <w:pPr>
              <w:pStyle w:val="11"/>
            </w:pPr>
            <w:r>
              <w:t>12.87</w:t>
            </w:r>
          </w:p>
        </w:tc>
        <w:tc>
          <w:tcPr>
            <w:tcW w:w="1134" w:type="dxa"/>
            <w:vAlign w:val="center"/>
          </w:tcPr>
          <w:p>
            <w:pPr>
              <w:pStyle w:val="11"/>
            </w:pPr>
            <w:r>
              <w:t>12.87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4.39</w:t>
            </w:r>
          </w:p>
        </w:tc>
        <w:tc>
          <w:tcPr>
            <w:tcW w:w="1134" w:type="dxa"/>
            <w:vAlign w:val="center"/>
          </w:tcPr>
          <w:p>
            <w:pPr>
              <w:pStyle w:val="11"/>
            </w:pPr>
            <w:r>
              <w:t>4.39</w:t>
            </w:r>
          </w:p>
        </w:tc>
        <w:tc>
          <w:tcPr>
            <w:tcW w:w="1134" w:type="dxa"/>
            <w:vAlign w:val="center"/>
          </w:tcPr>
          <w:p>
            <w:pPr>
              <w:pStyle w:val="11"/>
            </w:pPr>
            <w:r>
              <w:t>4.39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8.48</w:t>
            </w:r>
          </w:p>
        </w:tc>
        <w:tc>
          <w:tcPr>
            <w:tcW w:w="1134" w:type="dxa"/>
            <w:vAlign w:val="center"/>
          </w:tcPr>
          <w:p>
            <w:pPr>
              <w:pStyle w:val="11"/>
            </w:pPr>
            <w:r>
              <w:t>8.48</w:t>
            </w:r>
          </w:p>
        </w:tc>
        <w:tc>
          <w:tcPr>
            <w:tcW w:w="1134" w:type="dxa"/>
            <w:vAlign w:val="center"/>
          </w:tcPr>
          <w:p>
            <w:pPr>
              <w:pStyle w:val="11"/>
            </w:pPr>
            <w:r>
              <w:t>8.48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7.52</w:t>
            </w:r>
          </w:p>
        </w:tc>
        <w:tc>
          <w:tcPr>
            <w:tcW w:w="1134" w:type="dxa"/>
            <w:vAlign w:val="center"/>
          </w:tcPr>
          <w:p>
            <w:pPr>
              <w:pStyle w:val="11"/>
            </w:pPr>
            <w:r>
              <w:t>7.52</w:t>
            </w:r>
          </w:p>
        </w:tc>
        <w:tc>
          <w:tcPr>
            <w:tcW w:w="1134" w:type="dxa"/>
            <w:vAlign w:val="center"/>
          </w:tcPr>
          <w:p>
            <w:pPr>
              <w:pStyle w:val="11"/>
            </w:pPr>
            <w:r>
              <w:t>7.52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7.52</w:t>
            </w:r>
          </w:p>
        </w:tc>
        <w:tc>
          <w:tcPr>
            <w:tcW w:w="1134" w:type="dxa"/>
            <w:vAlign w:val="center"/>
          </w:tcPr>
          <w:p>
            <w:pPr>
              <w:pStyle w:val="11"/>
            </w:pPr>
            <w:r>
              <w:t>7.52</w:t>
            </w:r>
          </w:p>
        </w:tc>
        <w:tc>
          <w:tcPr>
            <w:tcW w:w="1134" w:type="dxa"/>
            <w:vAlign w:val="center"/>
          </w:tcPr>
          <w:p>
            <w:pPr>
              <w:pStyle w:val="11"/>
            </w:pPr>
            <w:r>
              <w:t>7.52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4.32</w:t>
            </w:r>
          </w:p>
        </w:tc>
        <w:tc>
          <w:tcPr>
            <w:tcW w:w="1134" w:type="dxa"/>
            <w:vAlign w:val="center"/>
          </w:tcPr>
          <w:p>
            <w:pPr>
              <w:pStyle w:val="11"/>
            </w:pPr>
            <w:r>
              <w:t>4.32</w:t>
            </w:r>
          </w:p>
        </w:tc>
        <w:tc>
          <w:tcPr>
            <w:tcW w:w="1134" w:type="dxa"/>
            <w:vAlign w:val="center"/>
          </w:tcPr>
          <w:p>
            <w:pPr>
              <w:pStyle w:val="11"/>
            </w:pPr>
            <w:r>
              <w:t>4.32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6.66</w:t>
            </w:r>
          </w:p>
        </w:tc>
        <w:tc>
          <w:tcPr>
            <w:tcW w:w="1134" w:type="dxa"/>
            <w:vAlign w:val="center"/>
          </w:tcPr>
          <w:p>
            <w:pPr>
              <w:pStyle w:val="11"/>
            </w:pPr>
            <w:r>
              <w:t>6.66</w:t>
            </w:r>
          </w:p>
        </w:tc>
        <w:tc>
          <w:tcPr>
            <w:tcW w:w="1134" w:type="dxa"/>
            <w:vAlign w:val="center"/>
          </w:tcPr>
          <w:p>
            <w:pPr>
              <w:pStyle w:val="11"/>
            </w:pPr>
            <w:r>
              <w:t>6.66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6.66</w:t>
            </w:r>
          </w:p>
        </w:tc>
        <w:tc>
          <w:tcPr>
            <w:tcW w:w="1134" w:type="dxa"/>
            <w:vAlign w:val="center"/>
          </w:tcPr>
          <w:p>
            <w:pPr>
              <w:pStyle w:val="11"/>
            </w:pPr>
            <w:r>
              <w:t>6.66</w:t>
            </w:r>
          </w:p>
        </w:tc>
        <w:tc>
          <w:tcPr>
            <w:tcW w:w="1134" w:type="dxa"/>
            <w:vAlign w:val="center"/>
          </w:tcPr>
          <w:p>
            <w:pPr>
              <w:pStyle w:val="11"/>
            </w:pPr>
            <w:r>
              <w:t>6.66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6.66</w:t>
            </w:r>
          </w:p>
        </w:tc>
        <w:tc>
          <w:tcPr>
            <w:tcW w:w="1134" w:type="dxa"/>
            <w:vAlign w:val="center"/>
          </w:tcPr>
          <w:p>
            <w:pPr>
              <w:pStyle w:val="11"/>
            </w:pPr>
            <w:r>
              <w:t>6.66</w:t>
            </w:r>
          </w:p>
        </w:tc>
        <w:tc>
          <w:tcPr>
            <w:tcW w:w="1134" w:type="dxa"/>
            <w:vAlign w:val="center"/>
          </w:tcPr>
          <w:p>
            <w:pPr>
              <w:pStyle w:val="11"/>
            </w:pPr>
            <w:r>
              <w:t>6.66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381.18</w:t>
            </w:r>
          </w:p>
        </w:tc>
        <w:tc>
          <w:tcPr>
            <w:tcW w:w="1361" w:type="dxa"/>
            <w:vAlign w:val="center"/>
          </w:tcPr>
          <w:p>
            <w:pPr>
              <w:pStyle w:val="15"/>
            </w:pPr>
            <w:r>
              <w:t>92.78</w:t>
            </w:r>
          </w:p>
        </w:tc>
        <w:tc>
          <w:tcPr>
            <w:tcW w:w="1361" w:type="dxa"/>
            <w:vAlign w:val="center"/>
          </w:tcPr>
          <w:p>
            <w:pPr>
              <w:pStyle w:val="15"/>
            </w:pPr>
            <w:r>
              <w:t>288.40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354.13</w:t>
            </w:r>
          </w:p>
        </w:tc>
        <w:tc>
          <w:tcPr>
            <w:tcW w:w="1361" w:type="dxa"/>
            <w:vAlign w:val="center"/>
          </w:tcPr>
          <w:p>
            <w:pPr>
              <w:pStyle w:val="11"/>
            </w:pPr>
            <w:r>
              <w:t>65.73</w:t>
            </w:r>
          </w:p>
        </w:tc>
        <w:tc>
          <w:tcPr>
            <w:tcW w:w="1361" w:type="dxa"/>
            <w:vAlign w:val="center"/>
          </w:tcPr>
          <w:p>
            <w:pPr>
              <w:pStyle w:val="11"/>
            </w:pPr>
            <w:r>
              <w:t>288.40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20106</w:t>
            </w:r>
          </w:p>
        </w:tc>
        <w:tc>
          <w:tcPr>
            <w:tcW w:w="4535" w:type="dxa"/>
            <w:vAlign w:val="center"/>
          </w:tcPr>
          <w:p>
            <w:pPr>
              <w:pStyle w:val="12"/>
            </w:pPr>
            <w:r>
              <w:t>财政事务</w:t>
            </w:r>
          </w:p>
        </w:tc>
        <w:tc>
          <w:tcPr>
            <w:tcW w:w="1361" w:type="dxa"/>
            <w:vAlign w:val="center"/>
          </w:tcPr>
          <w:p>
            <w:pPr>
              <w:pStyle w:val="11"/>
            </w:pPr>
            <w:r>
              <w:t>286.40</w:t>
            </w:r>
          </w:p>
        </w:tc>
        <w:tc>
          <w:tcPr>
            <w:tcW w:w="1361" w:type="dxa"/>
            <w:vAlign w:val="center"/>
          </w:tcPr>
          <w:p>
            <w:pPr>
              <w:pStyle w:val="11"/>
            </w:pPr>
          </w:p>
        </w:tc>
        <w:tc>
          <w:tcPr>
            <w:tcW w:w="1361" w:type="dxa"/>
            <w:vAlign w:val="center"/>
          </w:tcPr>
          <w:p>
            <w:pPr>
              <w:pStyle w:val="11"/>
            </w:pPr>
            <w:r>
              <w:t>286.40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2010608</w:t>
            </w:r>
          </w:p>
        </w:tc>
        <w:tc>
          <w:tcPr>
            <w:tcW w:w="4535" w:type="dxa"/>
            <w:vAlign w:val="center"/>
          </w:tcPr>
          <w:p>
            <w:pPr>
              <w:pStyle w:val="12"/>
            </w:pPr>
            <w:r>
              <w:t>财政委托业务支出</w:t>
            </w:r>
          </w:p>
        </w:tc>
        <w:tc>
          <w:tcPr>
            <w:tcW w:w="1361" w:type="dxa"/>
            <w:vAlign w:val="center"/>
          </w:tcPr>
          <w:p>
            <w:pPr>
              <w:pStyle w:val="11"/>
            </w:pPr>
            <w:r>
              <w:t>286.40</w:t>
            </w:r>
          </w:p>
        </w:tc>
        <w:tc>
          <w:tcPr>
            <w:tcW w:w="1361" w:type="dxa"/>
            <w:vAlign w:val="center"/>
          </w:tcPr>
          <w:p>
            <w:pPr>
              <w:pStyle w:val="11"/>
            </w:pPr>
          </w:p>
        </w:tc>
        <w:tc>
          <w:tcPr>
            <w:tcW w:w="1361" w:type="dxa"/>
            <w:vAlign w:val="center"/>
          </w:tcPr>
          <w:p>
            <w:pPr>
              <w:pStyle w:val="11"/>
            </w:pPr>
            <w:r>
              <w:t>286.40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20108</w:t>
            </w:r>
          </w:p>
        </w:tc>
        <w:tc>
          <w:tcPr>
            <w:tcW w:w="4535" w:type="dxa"/>
            <w:vAlign w:val="center"/>
          </w:tcPr>
          <w:p>
            <w:pPr>
              <w:pStyle w:val="12"/>
            </w:pPr>
            <w:r>
              <w:t>审计事务</w:t>
            </w:r>
          </w:p>
        </w:tc>
        <w:tc>
          <w:tcPr>
            <w:tcW w:w="1361" w:type="dxa"/>
            <w:vAlign w:val="center"/>
          </w:tcPr>
          <w:p>
            <w:pPr>
              <w:pStyle w:val="11"/>
            </w:pPr>
            <w:r>
              <w:t>67.73</w:t>
            </w:r>
          </w:p>
        </w:tc>
        <w:tc>
          <w:tcPr>
            <w:tcW w:w="1361" w:type="dxa"/>
            <w:vAlign w:val="center"/>
          </w:tcPr>
          <w:p>
            <w:pPr>
              <w:pStyle w:val="11"/>
            </w:pPr>
            <w:r>
              <w:t>65.73</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2010850</w:t>
            </w:r>
          </w:p>
        </w:tc>
        <w:tc>
          <w:tcPr>
            <w:tcW w:w="4535" w:type="dxa"/>
            <w:vAlign w:val="center"/>
          </w:tcPr>
          <w:p>
            <w:pPr>
              <w:pStyle w:val="12"/>
            </w:pPr>
            <w:r>
              <w:t>事业运行</w:t>
            </w:r>
          </w:p>
        </w:tc>
        <w:tc>
          <w:tcPr>
            <w:tcW w:w="1361" w:type="dxa"/>
            <w:vAlign w:val="center"/>
          </w:tcPr>
          <w:p>
            <w:pPr>
              <w:pStyle w:val="11"/>
            </w:pPr>
            <w:r>
              <w:t>67.73</w:t>
            </w:r>
          </w:p>
        </w:tc>
        <w:tc>
          <w:tcPr>
            <w:tcW w:w="1361" w:type="dxa"/>
            <w:vAlign w:val="center"/>
          </w:tcPr>
          <w:p>
            <w:pPr>
              <w:pStyle w:val="11"/>
            </w:pPr>
            <w:r>
              <w:t>65.73</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12.87</w:t>
            </w:r>
          </w:p>
        </w:tc>
        <w:tc>
          <w:tcPr>
            <w:tcW w:w="1361" w:type="dxa"/>
            <w:vAlign w:val="center"/>
          </w:tcPr>
          <w:p>
            <w:pPr>
              <w:pStyle w:val="11"/>
            </w:pPr>
            <w:r>
              <w:t>12.87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12.87</w:t>
            </w:r>
          </w:p>
        </w:tc>
        <w:tc>
          <w:tcPr>
            <w:tcW w:w="1361" w:type="dxa"/>
            <w:vAlign w:val="center"/>
          </w:tcPr>
          <w:p>
            <w:pPr>
              <w:pStyle w:val="11"/>
            </w:pPr>
            <w:r>
              <w:t>12.87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4.39</w:t>
            </w:r>
          </w:p>
        </w:tc>
        <w:tc>
          <w:tcPr>
            <w:tcW w:w="1361" w:type="dxa"/>
            <w:vAlign w:val="center"/>
          </w:tcPr>
          <w:p>
            <w:pPr>
              <w:pStyle w:val="11"/>
            </w:pPr>
            <w:r>
              <w:t>4.39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8.48</w:t>
            </w:r>
          </w:p>
        </w:tc>
        <w:tc>
          <w:tcPr>
            <w:tcW w:w="1361" w:type="dxa"/>
            <w:vAlign w:val="center"/>
          </w:tcPr>
          <w:p>
            <w:pPr>
              <w:pStyle w:val="11"/>
            </w:pPr>
            <w:r>
              <w:t>8.48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7.52</w:t>
            </w:r>
          </w:p>
        </w:tc>
        <w:tc>
          <w:tcPr>
            <w:tcW w:w="1361" w:type="dxa"/>
            <w:vAlign w:val="center"/>
          </w:tcPr>
          <w:p>
            <w:pPr>
              <w:pStyle w:val="11"/>
            </w:pPr>
            <w:r>
              <w:t>7.52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7.52</w:t>
            </w:r>
          </w:p>
        </w:tc>
        <w:tc>
          <w:tcPr>
            <w:tcW w:w="1361" w:type="dxa"/>
            <w:vAlign w:val="center"/>
          </w:tcPr>
          <w:p>
            <w:pPr>
              <w:pStyle w:val="11"/>
            </w:pPr>
            <w:r>
              <w:t>7.52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3.20</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4.32</w:t>
            </w:r>
          </w:p>
        </w:tc>
        <w:tc>
          <w:tcPr>
            <w:tcW w:w="1361" w:type="dxa"/>
            <w:vAlign w:val="center"/>
          </w:tcPr>
          <w:p>
            <w:pPr>
              <w:pStyle w:val="11"/>
            </w:pPr>
            <w:r>
              <w:t>4.32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6.66</w:t>
            </w:r>
          </w:p>
        </w:tc>
        <w:tc>
          <w:tcPr>
            <w:tcW w:w="1361" w:type="dxa"/>
            <w:vAlign w:val="center"/>
          </w:tcPr>
          <w:p>
            <w:pPr>
              <w:pStyle w:val="11"/>
            </w:pPr>
            <w:r>
              <w:t>6.66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6.66</w:t>
            </w:r>
          </w:p>
        </w:tc>
        <w:tc>
          <w:tcPr>
            <w:tcW w:w="1361" w:type="dxa"/>
            <w:vAlign w:val="center"/>
          </w:tcPr>
          <w:p>
            <w:pPr>
              <w:pStyle w:val="11"/>
            </w:pPr>
            <w:r>
              <w:t>6.66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6.66</w:t>
            </w:r>
          </w:p>
        </w:tc>
        <w:tc>
          <w:tcPr>
            <w:tcW w:w="1361" w:type="dxa"/>
            <w:vAlign w:val="center"/>
          </w:tcPr>
          <w:p>
            <w:pPr>
              <w:pStyle w:val="11"/>
            </w:pPr>
            <w:r>
              <w:t>6.66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381.18</w:t>
            </w:r>
          </w:p>
        </w:tc>
        <w:tc>
          <w:tcPr>
            <w:tcW w:w="3402" w:type="dxa"/>
            <w:vAlign w:val="center"/>
          </w:tcPr>
          <w:p>
            <w:pPr>
              <w:pStyle w:val="12"/>
            </w:pPr>
            <w:r>
              <w:t>一、一般公共服务支出</w:t>
            </w:r>
          </w:p>
        </w:tc>
        <w:tc>
          <w:tcPr>
            <w:tcW w:w="1474" w:type="dxa"/>
            <w:vAlign w:val="center"/>
          </w:tcPr>
          <w:p>
            <w:pPr>
              <w:pStyle w:val="11"/>
            </w:pPr>
            <w:r>
              <w:t>354.13</w:t>
            </w:r>
          </w:p>
        </w:tc>
        <w:tc>
          <w:tcPr>
            <w:tcW w:w="1474" w:type="dxa"/>
            <w:vAlign w:val="center"/>
          </w:tcPr>
          <w:p>
            <w:pPr>
              <w:pStyle w:val="11"/>
            </w:pPr>
            <w:r>
              <w:t>354.13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12.87</w:t>
            </w:r>
          </w:p>
        </w:tc>
        <w:tc>
          <w:tcPr>
            <w:tcW w:w="1474" w:type="dxa"/>
            <w:vAlign w:val="center"/>
          </w:tcPr>
          <w:p>
            <w:pPr>
              <w:pStyle w:val="11"/>
            </w:pPr>
            <w:r>
              <w:t>12.87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7.52</w:t>
            </w:r>
          </w:p>
        </w:tc>
        <w:tc>
          <w:tcPr>
            <w:tcW w:w="1474" w:type="dxa"/>
            <w:vAlign w:val="center"/>
          </w:tcPr>
          <w:p>
            <w:pPr>
              <w:pStyle w:val="11"/>
            </w:pPr>
            <w:r>
              <w:t>7.52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6.66</w:t>
            </w:r>
          </w:p>
        </w:tc>
        <w:tc>
          <w:tcPr>
            <w:tcW w:w="1474" w:type="dxa"/>
            <w:vAlign w:val="center"/>
          </w:tcPr>
          <w:p>
            <w:pPr>
              <w:pStyle w:val="11"/>
            </w:pPr>
            <w:r>
              <w:t>6.66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381.18</w:t>
            </w:r>
          </w:p>
        </w:tc>
        <w:tc>
          <w:tcPr>
            <w:tcW w:w="3402" w:type="dxa"/>
            <w:vAlign w:val="center"/>
          </w:tcPr>
          <w:p>
            <w:pPr>
              <w:pStyle w:val="14"/>
            </w:pPr>
            <w:r>
              <w:t>本年支出合计</w:t>
            </w:r>
          </w:p>
        </w:tc>
        <w:tc>
          <w:tcPr>
            <w:tcW w:w="1474" w:type="dxa"/>
            <w:vAlign w:val="center"/>
          </w:tcPr>
          <w:p>
            <w:pPr>
              <w:pStyle w:val="15"/>
            </w:pPr>
            <w:r>
              <w:t>381.18</w:t>
            </w:r>
          </w:p>
        </w:tc>
        <w:tc>
          <w:tcPr>
            <w:tcW w:w="1474" w:type="dxa"/>
            <w:vAlign w:val="center"/>
          </w:tcPr>
          <w:p>
            <w:pPr>
              <w:pStyle w:val="15"/>
            </w:pPr>
            <w:r>
              <w:t>381.18</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381.18</w:t>
            </w:r>
          </w:p>
        </w:tc>
        <w:tc>
          <w:tcPr>
            <w:tcW w:w="3402" w:type="dxa"/>
            <w:vAlign w:val="center"/>
          </w:tcPr>
          <w:p>
            <w:pPr>
              <w:pStyle w:val="14"/>
            </w:pPr>
            <w:r>
              <w:t>支出总计</w:t>
            </w:r>
          </w:p>
        </w:tc>
        <w:tc>
          <w:tcPr>
            <w:tcW w:w="1474" w:type="dxa"/>
            <w:vAlign w:val="center"/>
          </w:tcPr>
          <w:p>
            <w:pPr>
              <w:pStyle w:val="15"/>
            </w:pPr>
            <w:r>
              <w:t>381.18</w:t>
            </w:r>
          </w:p>
        </w:tc>
        <w:tc>
          <w:tcPr>
            <w:tcW w:w="1474" w:type="dxa"/>
            <w:vAlign w:val="center"/>
          </w:tcPr>
          <w:p>
            <w:pPr>
              <w:pStyle w:val="15"/>
            </w:pPr>
            <w:r>
              <w:t>381.18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381.18</w:t>
            </w:r>
          </w:p>
        </w:tc>
        <w:tc>
          <w:tcPr>
            <w:tcW w:w="2551" w:type="dxa"/>
            <w:vAlign w:val="center"/>
          </w:tcPr>
          <w:p>
            <w:pPr>
              <w:pStyle w:val="15"/>
            </w:pPr>
            <w:r>
              <w:t>92.78</w:t>
            </w:r>
          </w:p>
        </w:tc>
        <w:tc>
          <w:tcPr>
            <w:tcW w:w="2551" w:type="dxa"/>
            <w:vAlign w:val="center"/>
          </w:tcPr>
          <w:p>
            <w:pPr>
              <w:pStyle w:val="15"/>
            </w:pPr>
            <w:r>
              <w:t>288.40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354.13</w:t>
            </w:r>
          </w:p>
        </w:tc>
        <w:tc>
          <w:tcPr>
            <w:tcW w:w="2551" w:type="dxa"/>
            <w:vAlign w:val="center"/>
          </w:tcPr>
          <w:p>
            <w:pPr>
              <w:pStyle w:val="11"/>
            </w:pPr>
            <w:r>
              <w:t>65.73</w:t>
            </w:r>
          </w:p>
        </w:tc>
        <w:tc>
          <w:tcPr>
            <w:tcW w:w="2551" w:type="dxa"/>
            <w:vAlign w:val="center"/>
          </w:tcPr>
          <w:p>
            <w:pPr>
              <w:pStyle w:val="11"/>
            </w:pPr>
            <w:r>
              <w:t>288.40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20106</w:t>
            </w:r>
          </w:p>
        </w:tc>
        <w:tc>
          <w:tcPr>
            <w:tcW w:w="4535" w:type="dxa"/>
            <w:vAlign w:val="center"/>
          </w:tcPr>
          <w:p>
            <w:pPr>
              <w:pStyle w:val="12"/>
            </w:pPr>
            <w:r>
              <w:t>财政事务</w:t>
            </w:r>
          </w:p>
        </w:tc>
        <w:tc>
          <w:tcPr>
            <w:tcW w:w="2551" w:type="dxa"/>
            <w:vAlign w:val="center"/>
          </w:tcPr>
          <w:p>
            <w:pPr>
              <w:pStyle w:val="11"/>
            </w:pPr>
            <w:r>
              <w:t>286.40</w:t>
            </w:r>
          </w:p>
        </w:tc>
        <w:tc>
          <w:tcPr>
            <w:tcW w:w="2551" w:type="dxa"/>
            <w:vAlign w:val="center"/>
          </w:tcPr>
          <w:p>
            <w:pPr>
              <w:pStyle w:val="11"/>
            </w:pPr>
          </w:p>
        </w:tc>
        <w:tc>
          <w:tcPr>
            <w:tcW w:w="2551" w:type="dxa"/>
            <w:vAlign w:val="center"/>
          </w:tcPr>
          <w:p>
            <w:pPr>
              <w:pStyle w:val="11"/>
            </w:pPr>
            <w:r>
              <w:t>286.40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2010608</w:t>
            </w:r>
          </w:p>
        </w:tc>
        <w:tc>
          <w:tcPr>
            <w:tcW w:w="4535" w:type="dxa"/>
            <w:vAlign w:val="center"/>
          </w:tcPr>
          <w:p>
            <w:pPr>
              <w:pStyle w:val="12"/>
            </w:pPr>
            <w:r>
              <w:t>财政委托业务支出</w:t>
            </w:r>
          </w:p>
        </w:tc>
        <w:tc>
          <w:tcPr>
            <w:tcW w:w="2551" w:type="dxa"/>
            <w:vAlign w:val="center"/>
          </w:tcPr>
          <w:p>
            <w:pPr>
              <w:pStyle w:val="11"/>
            </w:pPr>
            <w:r>
              <w:t>286.40</w:t>
            </w:r>
          </w:p>
        </w:tc>
        <w:tc>
          <w:tcPr>
            <w:tcW w:w="2551" w:type="dxa"/>
            <w:vAlign w:val="center"/>
          </w:tcPr>
          <w:p>
            <w:pPr>
              <w:pStyle w:val="11"/>
            </w:pPr>
          </w:p>
        </w:tc>
        <w:tc>
          <w:tcPr>
            <w:tcW w:w="2551" w:type="dxa"/>
            <w:vAlign w:val="center"/>
          </w:tcPr>
          <w:p>
            <w:pPr>
              <w:pStyle w:val="11"/>
            </w:pPr>
            <w:r>
              <w:t>286.40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67.73</w:t>
            </w:r>
          </w:p>
        </w:tc>
        <w:tc>
          <w:tcPr>
            <w:tcW w:w="2551" w:type="dxa"/>
            <w:vAlign w:val="center"/>
          </w:tcPr>
          <w:p>
            <w:pPr>
              <w:pStyle w:val="11"/>
            </w:pPr>
            <w:r>
              <w:t>65.73</w:t>
            </w: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2010850</w:t>
            </w:r>
          </w:p>
        </w:tc>
        <w:tc>
          <w:tcPr>
            <w:tcW w:w="4535" w:type="dxa"/>
            <w:vAlign w:val="center"/>
          </w:tcPr>
          <w:p>
            <w:pPr>
              <w:pStyle w:val="12"/>
            </w:pPr>
            <w:r>
              <w:t>事业运行</w:t>
            </w:r>
          </w:p>
        </w:tc>
        <w:tc>
          <w:tcPr>
            <w:tcW w:w="2551" w:type="dxa"/>
            <w:vAlign w:val="center"/>
          </w:tcPr>
          <w:p>
            <w:pPr>
              <w:pStyle w:val="11"/>
            </w:pPr>
            <w:r>
              <w:t>67.73</w:t>
            </w:r>
          </w:p>
        </w:tc>
        <w:tc>
          <w:tcPr>
            <w:tcW w:w="2551" w:type="dxa"/>
            <w:vAlign w:val="center"/>
          </w:tcPr>
          <w:p>
            <w:pPr>
              <w:pStyle w:val="11"/>
            </w:pPr>
            <w:r>
              <w:t>65.73</w:t>
            </w: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12.87</w:t>
            </w:r>
          </w:p>
        </w:tc>
        <w:tc>
          <w:tcPr>
            <w:tcW w:w="2551" w:type="dxa"/>
            <w:vAlign w:val="center"/>
          </w:tcPr>
          <w:p>
            <w:pPr>
              <w:pStyle w:val="11"/>
            </w:pPr>
            <w:r>
              <w:t>12.87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12.87</w:t>
            </w:r>
          </w:p>
        </w:tc>
        <w:tc>
          <w:tcPr>
            <w:tcW w:w="2551" w:type="dxa"/>
            <w:vAlign w:val="center"/>
          </w:tcPr>
          <w:p>
            <w:pPr>
              <w:pStyle w:val="11"/>
            </w:pPr>
            <w:r>
              <w:t>12.87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4.39</w:t>
            </w:r>
          </w:p>
        </w:tc>
        <w:tc>
          <w:tcPr>
            <w:tcW w:w="2551" w:type="dxa"/>
            <w:vAlign w:val="center"/>
          </w:tcPr>
          <w:p>
            <w:pPr>
              <w:pStyle w:val="11"/>
            </w:pPr>
            <w:r>
              <w:t>4.39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8.48</w:t>
            </w:r>
          </w:p>
        </w:tc>
        <w:tc>
          <w:tcPr>
            <w:tcW w:w="2551" w:type="dxa"/>
            <w:vAlign w:val="center"/>
          </w:tcPr>
          <w:p>
            <w:pPr>
              <w:pStyle w:val="11"/>
            </w:pPr>
            <w:r>
              <w:t>8.48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7.52</w:t>
            </w:r>
          </w:p>
        </w:tc>
        <w:tc>
          <w:tcPr>
            <w:tcW w:w="2551" w:type="dxa"/>
            <w:vAlign w:val="center"/>
          </w:tcPr>
          <w:p>
            <w:pPr>
              <w:pStyle w:val="11"/>
            </w:pPr>
            <w:r>
              <w:t>7.52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7.52</w:t>
            </w:r>
          </w:p>
        </w:tc>
        <w:tc>
          <w:tcPr>
            <w:tcW w:w="2551" w:type="dxa"/>
            <w:vAlign w:val="center"/>
          </w:tcPr>
          <w:p>
            <w:pPr>
              <w:pStyle w:val="11"/>
            </w:pPr>
            <w:r>
              <w:t>7.52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4.32</w:t>
            </w:r>
          </w:p>
        </w:tc>
        <w:tc>
          <w:tcPr>
            <w:tcW w:w="2551" w:type="dxa"/>
            <w:vAlign w:val="center"/>
          </w:tcPr>
          <w:p>
            <w:pPr>
              <w:pStyle w:val="11"/>
            </w:pPr>
            <w:r>
              <w:t>4.32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6.66</w:t>
            </w:r>
          </w:p>
        </w:tc>
        <w:tc>
          <w:tcPr>
            <w:tcW w:w="2551" w:type="dxa"/>
            <w:vAlign w:val="center"/>
          </w:tcPr>
          <w:p>
            <w:pPr>
              <w:pStyle w:val="11"/>
            </w:pPr>
            <w:r>
              <w:t>6.66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6.66</w:t>
            </w:r>
          </w:p>
        </w:tc>
        <w:tc>
          <w:tcPr>
            <w:tcW w:w="2551" w:type="dxa"/>
            <w:vAlign w:val="center"/>
          </w:tcPr>
          <w:p>
            <w:pPr>
              <w:pStyle w:val="11"/>
            </w:pPr>
            <w:r>
              <w:t>6.66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6.66</w:t>
            </w:r>
          </w:p>
        </w:tc>
        <w:tc>
          <w:tcPr>
            <w:tcW w:w="2551" w:type="dxa"/>
            <w:vAlign w:val="center"/>
          </w:tcPr>
          <w:p>
            <w:pPr>
              <w:pStyle w:val="11"/>
            </w:pPr>
            <w:r>
              <w:t>6.66</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92.78</w:t>
            </w:r>
          </w:p>
        </w:tc>
        <w:tc>
          <w:tcPr>
            <w:tcW w:w="2551" w:type="dxa"/>
            <w:vAlign w:val="center"/>
          </w:tcPr>
          <w:p>
            <w:pPr>
              <w:pStyle w:val="15"/>
            </w:pPr>
            <w:r>
              <w:t>87.85</w:t>
            </w:r>
          </w:p>
        </w:tc>
        <w:tc>
          <w:tcPr>
            <w:tcW w:w="2551" w:type="dxa"/>
            <w:vAlign w:val="center"/>
          </w:tcPr>
          <w:p>
            <w:pPr>
              <w:pStyle w:val="15"/>
            </w:pPr>
            <w:r>
              <w:t>4.93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83.63</w:t>
            </w:r>
          </w:p>
        </w:tc>
        <w:tc>
          <w:tcPr>
            <w:tcW w:w="2551" w:type="dxa"/>
            <w:vAlign w:val="center"/>
          </w:tcPr>
          <w:p>
            <w:pPr>
              <w:pStyle w:val="11"/>
            </w:pPr>
            <w:r>
              <w:t>83.63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21.86</w:t>
            </w:r>
          </w:p>
        </w:tc>
        <w:tc>
          <w:tcPr>
            <w:tcW w:w="2551" w:type="dxa"/>
            <w:vAlign w:val="center"/>
          </w:tcPr>
          <w:p>
            <w:pPr>
              <w:pStyle w:val="11"/>
            </w:pPr>
            <w:r>
              <w:t>21.86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4.36</w:t>
            </w:r>
          </w:p>
        </w:tc>
        <w:tc>
          <w:tcPr>
            <w:tcW w:w="2551" w:type="dxa"/>
            <w:vAlign w:val="center"/>
          </w:tcPr>
          <w:p>
            <w:pPr>
              <w:pStyle w:val="11"/>
            </w:pPr>
            <w:r>
              <w:t>4.36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34.09</w:t>
            </w:r>
          </w:p>
        </w:tc>
        <w:tc>
          <w:tcPr>
            <w:tcW w:w="2551" w:type="dxa"/>
            <w:vAlign w:val="center"/>
          </w:tcPr>
          <w:p>
            <w:pPr>
              <w:pStyle w:val="11"/>
            </w:pPr>
            <w:r>
              <w:t>34.09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8.48</w:t>
            </w:r>
          </w:p>
        </w:tc>
        <w:tc>
          <w:tcPr>
            <w:tcW w:w="2551" w:type="dxa"/>
            <w:vAlign w:val="center"/>
          </w:tcPr>
          <w:p>
            <w:pPr>
              <w:pStyle w:val="11"/>
            </w:pPr>
            <w:r>
              <w:t>8.48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4.32</w:t>
            </w:r>
          </w:p>
        </w:tc>
        <w:tc>
          <w:tcPr>
            <w:tcW w:w="2551" w:type="dxa"/>
            <w:vAlign w:val="center"/>
          </w:tcPr>
          <w:p>
            <w:pPr>
              <w:pStyle w:val="11"/>
            </w:pPr>
            <w:r>
              <w:t>4.32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0.66</w:t>
            </w:r>
          </w:p>
        </w:tc>
        <w:tc>
          <w:tcPr>
            <w:tcW w:w="2551" w:type="dxa"/>
            <w:vAlign w:val="center"/>
          </w:tcPr>
          <w:p>
            <w:pPr>
              <w:pStyle w:val="11"/>
            </w:pPr>
            <w:r>
              <w:t>0.66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6.66</w:t>
            </w:r>
          </w:p>
        </w:tc>
        <w:tc>
          <w:tcPr>
            <w:tcW w:w="2551" w:type="dxa"/>
            <w:vAlign w:val="center"/>
          </w:tcPr>
          <w:p>
            <w:pPr>
              <w:pStyle w:val="11"/>
            </w:pPr>
            <w:r>
              <w:t>6.66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4.93</w:t>
            </w:r>
          </w:p>
        </w:tc>
        <w:tc>
          <w:tcPr>
            <w:tcW w:w="2551" w:type="dxa"/>
            <w:vAlign w:val="center"/>
          </w:tcPr>
          <w:p>
            <w:pPr>
              <w:pStyle w:val="11"/>
            </w:pPr>
          </w:p>
        </w:tc>
        <w:tc>
          <w:tcPr>
            <w:tcW w:w="2551" w:type="dxa"/>
            <w:vAlign w:val="center"/>
          </w:tcPr>
          <w:p>
            <w:pPr>
              <w:pStyle w:val="11"/>
            </w:pPr>
            <w:r>
              <w:t>4.93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0.05</w:t>
            </w:r>
          </w:p>
        </w:tc>
        <w:tc>
          <w:tcPr>
            <w:tcW w:w="2551" w:type="dxa"/>
            <w:vAlign w:val="center"/>
          </w:tcPr>
          <w:p>
            <w:pPr>
              <w:pStyle w:val="11"/>
            </w:pPr>
          </w:p>
        </w:tc>
        <w:tc>
          <w:tcPr>
            <w:tcW w:w="2551" w:type="dxa"/>
            <w:vAlign w:val="center"/>
          </w:tcPr>
          <w:p>
            <w:pPr>
              <w:pStyle w:val="11"/>
            </w:pPr>
            <w: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0.08</w:t>
            </w:r>
          </w:p>
        </w:tc>
        <w:tc>
          <w:tcPr>
            <w:tcW w:w="2551" w:type="dxa"/>
            <w:vAlign w:val="center"/>
          </w:tcPr>
          <w:p>
            <w:pPr>
              <w:pStyle w:val="11"/>
            </w:pPr>
          </w:p>
        </w:tc>
        <w:tc>
          <w:tcPr>
            <w:tcW w:w="2551" w:type="dxa"/>
            <w:vAlign w:val="center"/>
          </w:tcPr>
          <w:p>
            <w:pPr>
              <w:pStyle w:val="11"/>
            </w:pPr>
            <w: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0.74</w:t>
            </w:r>
          </w:p>
        </w:tc>
        <w:tc>
          <w:tcPr>
            <w:tcW w:w="2551" w:type="dxa"/>
            <w:vAlign w:val="center"/>
          </w:tcPr>
          <w:p>
            <w:pPr>
              <w:pStyle w:val="11"/>
            </w:pPr>
          </w:p>
        </w:tc>
        <w:tc>
          <w:tcPr>
            <w:tcW w:w="2551" w:type="dxa"/>
            <w:vAlign w:val="center"/>
          </w:tcPr>
          <w:p>
            <w:pPr>
              <w:pStyle w:val="11"/>
            </w:pPr>
            <w:r>
              <w:t>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0.49</w:t>
            </w:r>
          </w:p>
        </w:tc>
        <w:tc>
          <w:tcPr>
            <w:tcW w:w="2551" w:type="dxa"/>
            <w:vAlign w:val="center"/>
          </w:tcPr>
          <w:p>
            <w:pPr>
              <w:pStyle w:val="11"/>
            </w:pPr>
          </w:p>
        </w:tc>
        <w:tc>
          <w:tcPr>
            <w:tcW w:w="2551" w:type="dxa"/>
            <w:vAlign w:val="center"/>
          </w:tcPr>
          <w:p>
            <w:pPr>
              <w:pStyle w:val="11"/>
            </w:pPr>
            <w:r>
              <w:t>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0.22</w:t>
            </w:r>
          </w:p>
        </w:tc>
        <w:tc>
          <w:tcPr>
            <w:tcW w:w="2551" w:type="dxa"/>
            <w:vAlign w:val="center"/>
          </w:tcPr>
          <w:p>
            <w:pPr>
              <w:pStyle w:val="11"/>
            </w:pPr>
          </w:p>
        </w:tc>
        <w:tc>
          <w:tcPr>
            <w:tcW w:w="2551" w:type="dxa"/>
            <w:vAlign w:val="center"/>
          </w:tcPr>
          <w:p>
            <w:pPr>
              <w:pStyle w:val="11"/>
            </w:pPr>
            <w:r>
              <w:t>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4.22</w:t>
            </w:r>
          </w:p>
        </w:tc>
        <w:tc>
          <w:tcPr>
            <w:tcW w:w="2551" w:type="dxa"/>
            <w:vAlign w:val="center"/>
          </w:tcPr>
          <w:p>
            <w:pPr>
              <w:pStyle w:val="11"/>
            </w:pPr>
            <w:r>
              <w:t>4.22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4.22</w:t>
            </w:r>
          </w:p>
        </w:tc>
        <w:tc>
          <w:tcPr>
            <w:tcW w:w="2551" w:type="dxa"/>
            <w:vAlign w:val="center"/>
          </w:tcPr>
          <w:p>
            <w:pPr>
              <w:pStyle w:val="11"/>
            </w:pPr>
            <w:r>
              <w:t>4.22</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1.88</w:t>
            </w:r>
          </w:p>
        </w:tc>
        <w:tc>
          <w:tcPr>
            <w:tcW w:w="2381" w:type="dxa"/>
            <w:vAlign w:val="center"/>
          </w:tcPr>
          <w:p>
            <w:pPr>
              <w:pStyle w:val="15"/>
            </w:pPr>
            <w:r>
              <w:t>1.88</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1.88</w:t>
            </w:r>
          </w:p>
        </w:tc>
        <w:tc>
          <w:tcPr>
            <w:tcW w:w="2381" w:type="dxa"/>
            <w:vAlign w:val="center"/>
          </w:tcPr>
          <w:p>
            <w:pPr>
              <w:pStyle w:val="11"/>
            </w:pPr>
            <w:r>
              <w:t>1.88</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0.08</w:t>
            </w:r>
          </w:p>
        </w:tc>
        <w:tc>
          <w:tcPr>
            <w:tcW w:w="2381" w:type="dxa"/>
            <w:vAlign w:val="center"/>
          </w:tcPr>
          <w:p>
            <w:pPr>
              <w:pStyle w:val="11"/>
            </w:pPr>
            <w:r>
              <w:t>0.08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秦皇岛经济技术开发区建设项目评审中心(本级)2025年单位预算信息公开情况说明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按照《中华人民共和国预算法》、《地方预决算公开操作规程》和《关于进一步推进预算公开工作的实施意见》规定，现将秦皇岛经济技术开发区建设项目评审中心(本级)2025年单位预算公开如下：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秦皇岛经济技术开发区建设项目评审中心(本级)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381.18万元，其中：一般公共预算收入381.18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经济技术开发区建设项目评审中心(本级)年度单位预算中支出预算的总体情况。2025年支出预算381.18万元，其中基本支出92.78万元，包括人员经费87.85万元和日常公用经费4.93万元；项目支出288.40万元，主要为(1)人员经费为在职人员各类工资、保险、补贴、住房公积金等；（2）日常公用经费为各类办公费、公务用车维护费等；（3）项目经费为本年度计划执行的服务项目，别为评审业务服务费及评审项目复核服务费。</w:t>
      </w:r>
    </w:p>
    <w:p>
      <w:pPr>
        <w:pStyle w:val="18"/>
      </w:pPr>
      <w:r>
        <w:t>3、比上年增减情况</w:t>
      </w:r>
    </w:p>
    <w:p>
      <w:pPr>
        <w:pStyle w:val="18"/>
      </w:pPr>
      <w:r>
        <w:t>2025年预算收支安排381.18万元，较2024年预算减少25.46万元，其中：基本支出减少4.63万元，主要为基本工资等项目减少。项目支出减少20.83万元，主要为2024年评审项目人员复核服务费项目采购执行预算减少。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2025年，我单位机关运行经费共计安排4.93万元，主要用于日常维修、办公用房水电费、办公用房取暖费、办公用房物业管理费等日常运行支出。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1.88万元，其中因公出国（境）费0.00万元；公务用车购置及运维费1.80万元（其中：公务用车购置费为0.00万元，公务用车运维费1.80万元)；公务接待费0.08万元。与2024年相比减少0.01万元，增减变化的主要原因是公务接待费减少。</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1、评审项目复核服务费绩效目标表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13031125P00001210002R</w:t>
            </w:r>
          </w:p>
        </w:tc>
        <w:tc>
          <w:tcPr>
            <w:tcW w:w="2835" w:type="dxa"/>
            <w:vAlign w:val="center"/>
          </w:tcPr>
          <w:p>
            <w:pPr>
              <w:pStyle w:val="10"/>
            </w:pPr>
            <w:r>
              <w:t>项目名称</w:t>
            </w:r>
          </w:p>
        </w:tc>
        <w:tc>
          <w:tcPr>
            <w:tcW w:w="6095" w:type="dxa"/>
            <w:gridSpan w:val="3"/>
            <w:vAlign w:val="center"/>
          </w:tcPr>
          <w:p>
            <w:pPr>
              <w:pStyle w:val="12"/>
            </w:pPr>
            <w:r>
              <w:t>评审项目复核服务费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用于开展评审报告复核工作的服务费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1.通过监督和指导服务供应商开展评审报告复核工作，使复核程序和结果满足法律、法规和行业技术标准，并满足各相关方需求；促使全年出具复核报告约65个以上，平均审减率≥2.6%</w:t>
            </w:r>
          </w:p>
          <w:p>
            <w:pPr>
              <w:pStyle w:val="12"/>
            </w:pPr>
            <w:r>
              <w:t>2.通过加强建设项目审核，保障开发区财政和国有企业投资基本建设项目在合法、合规的框架内顺利实施开展，帮助提高各单位建设项目管理的整体质量。</w:t>
            </w:r>
          </w:p>
          <w:p>
            <w:pPr>
              <w:pStyle w:val="12"/>
            </w:pPr>
            <w:r>
              <w:t>3.通过及时开展项目的采购工作，确保项目的顺利进行，保障8名复核人员工作的及时性和连续性。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派驻人员数量</w:t>
            </w:r>
          </w:p>
        </w:tc>
        <w:tc>
          <w:tcPr>
            <w:tcW w:w="5386" w:type="dxa"/>
            <w:vAlign w:val="center"/>
          </w:tcPr>
          <w:p>
            <w:pPr>
              <w:pStyle w:val="12"/>
            </w:pPr>
            <w:r>
              <w:t>中介机构派出的驻场复核人员数量</w:t>
            </w:r>
          </w:p>
        </w:tc>
        <w:tc>
          <w:tcPr>
            <w:tcW w:w="2268" w:type="dxa"/>
            <w:vAlign w:val="center"/>
          </w:tcPr>
          <w:p>
            <w:pPr>
              <w:pStyle w:val="12"/>
            </w:pPr>
            <w:r>
              <w:t>≥8人</w:t>
            </w:r>
          </w:p>
        </w:tc>
        <w:tc>
          <w:tcPr>
            <w:tcW w:w="1276" w:type="dxa"/>
            <w:vAlign w:val="center"/>
          </w:tcPr>
          <w:p>
            <w:pPr>
              <w:pStyle w:val="12"/>
            </w:pPr>
            <w:r>
              <w:t>21年8次工委会议纪要、秦人社[2019]38号文件、2024年复核服务框架协议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出具报告数量</w:t>
            </w:r>
          </w:p>
        </w:tc>
        <w:tc>
          <w:tcPr>
            <w:tcW w:w="5386" w:type="dxa"/>
            <w:vAlign w:val="center"/>
          </w:tcPr>
          <w:p>
            <w:pPr>
              <w:pStyle w:val="12"/>
            </w:pPr>
            <w:r>
              <w:t>出具复核报告数量</w:t>
            </w:r>
          </w:p>
        </w:tc>
        <w:tc>
          <w:tcPr>
            <w:tcW w:w="2268" w:type="dxa"/>
            <w:vAlign w:val="center"/>
          </w:tcPr>
          <w:p>
            <w:pPr>
              <w:pStyle w:val="12"/>
            </w:pPr>
            <w:r>
              <w:t>≥65个</w:t>
            </w:r>
          </w:p>
        </w:tc>
        <w:tc>
          <w:tcPr>
            <w:tcW w:w="1276" w:type="dxa"/>
            <w:vAlign w:val="center"/>
          </w:tcPr>
          <w:p>
            <w:pPr>
              <w:pStyle w:val="12"/>
            </w:pPr>
            <w:r>
              <w:t>年末复核报告统计</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项目合格率</w:t>
            </w:r>
          </w:p>
        </w:tc>
        <w:tc>
          <w:tcPr>
            <w:tcW w:w="5386" w:type="dxa"/>
            <w:vAlign w:val="center"/>
          </w:tcPr>
          <w:p>
            <w:pPr>
              <w:pStyle w:val="12"/>
            </w:pPr>
            <w:r>
              <w:t>经抽查合格项目的数量占总数量之比</w:t>
            </w:r>
          </w:p>
        </w:tc>
        <w:tc>
          <w:tcPr>
            <w:tcW w:w="2268" w:type="dxa"/>
            <w:vAlign w:val="center"/>
          </w:tcPr>
          <w:p>
            <w:pPr>
              <w:pStyle w:val="12"/>
            </w:pPr>
            <w:r>
              <w:t>≥95%</w:t>
            </w:r>
          </w:p>
        </w:tc>
        <w:tc>
          <w:tcPr>
            <w:tcW w:w="1276" w:type="dxa"/>
            <w:vAlign w:val="center"/>
          </w:tcPr>
          <w:p>
            <w:pPr>
              <w:pStyle w:val="12"/>
            </w:pPr>
            <w:r>
              <w:t>年末复核报告统计</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采购完成时间</w:t>
            </w:r>
          </w:p>
        </w:tc>
        <w:tc>
          <w:tcPr>
            <w:tcW w:w="5386" w:type="dxa"/>
            <w:vAlign w:val="center"/>
          </w:tcPr>
          <w:p>
            <w:pPr>
              <w:pStyle w:val="12"/>
            </w:pPr>
            <w:r>
              <w:t>6月底完成项目采购</w:t>
            </w:r>
          </w:p>
        </w:tc>
        <w:tc>
          <w:tcPr>
            <w:tcW w:w="2268" w:type="dxa"/>
            <w:vAlign w:val="center"/>
          </w:tcPr>
          <w:p>
            <w:pPr>
              <w:pStyle w:val="12"/>
            </w:pPr>
            <w:r>
              <w:t>6月底前</w:t>
            </w:r>
          </w:p>
        </w:tc>
        <w:tc>
          <w:tcPr>
            <w:tcW w:w="1276" w:type="dxa"/>
            <w:vAlign w:val="center"/>
          </w:tcPr>
          <w:p>
            <w:pPr>
              <w:pStyle w:val="12"/>
            </w:pPr>
            <w:r>
              <w:t>项目中标通知书</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项目月成本</w:t>
            </w:r>
          </w:p>
        </w:tc>
        <w:tc>
          <w:tcPr>
            <w:tcW w:w="5386" w:type="dxa"/>
            <w:vAlign w:val="center"/>
          </w:tcPr>
          <w:p>
            <w:pPr>
              <w:pStyle w:val="12"/>
            </w:pPr>
            <w:r>
              <w:t>项目执行过程中每月平均支付的服务费</w:t>
            </w:r>
          </w:p>
        </w:tc>
        <w:tc>
          <w:tcPr>
            <w:tcW w:w="2268" w:type="dxa"/>
            <w:vAlign w:val="center"/>
          </w:tcPr>
          <w:p>
            <w:pPr>
              <w:pStyle w:val="12"/>
            </w:pPr>
            <w:r>
              <w:t>≤8.34万元</w:t>
            </w:r>
          </w:p>
        </w:tc>
        <w:tc>
          <w:tcPr>
            <w:tcW w:w="1276" w:type="dxa"/>
            <w:vAlign w:val="center"/>
          </w:tcPr>
          <w:p>
            <w:pPr>
              <w:pStyle w:val="12"/>
            </w:pPr>
            <w:r>
              <w:t>项目框架协议及相关付款凭证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项目成交总成本</w:t>
            </w:r>
          </w:p>
        </w:tc>
        <w:tc>
          <w:tcPr>
            <w:tcW w:w="2268" w:type="dxa"/>
            <w:vAlign w:val="center"/>
          </w:tcPr>
          <w:p>
            <w:pPr>
              <w:pStyle w:val="12"/>
            </w:pPr>
            <w:r>
              <w:t>≤100万元</w:t>
            </w:r>
          </w:p>
        </w:tc>
        <w:tc>
          <w:tcPr>
            <w:tcW w:w="1276" w:type="dxa"/>
            <w:vAlign w:val="center"/>
          </w:tcPr>
          <w:p>
            <w:pPr>
              <w:pStyle w:val="12"/>
            </w:pPr>
            <w:r>
              <w:t>项目框架协议及相关付款凭证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提升财政资金使用效益</w:t>
            </w:r>
          </w:p>
        </w:tc>
        <w:tc>
          <w:tcPr>
            <w:tcW w:w="5386" w:type="dxa"/>
            <w:vAlign w:val="center"/>
          </w:tcPr>
          <w:p>
            <w:pPr>
              <w:pStyle w:val="12"/>
            </w:pPr>
            <w:r>
              <w:t>努力保障开发区基本建设项目投资成本在合理区间运行</w:t>
            </w:r>
          </w:p>
        </w:tc>
        <w:tc>
          <w:tcPr>
            <w:tcW w:w="2268" w:type="dxa"/>
            <w:vAlign w:val="center"/>
          </w:tcPr>
          <w:p>
            <w:pPr>
              <w:pStyle w:val="12"/>
            </w:pPr>
            <w:r>
              <w:t>较上年提高</w:t>
            </w:r>
          </w:p>
        </w:tc>
        <w:tc>
          <w:tcPr>
            <w:tcW w:w="1276" w:type="dxa"/>
            <w:vAlign w:val="center"/>
          </w:tcPr>
          <w:p>
            <w:pPr>
              <w:pStyle w:val="12"/>
            </w:pPr>
            <w:r>
              <w:t>两办关于印发《秦皇岛经济技术开发区财政和国有企业投资基本建设项目评审管理暂行办法》的通知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财政资金的节省率</w:t>
            </w:r>
          </w:p>
        </w:tc>
        <w:tc>
          <w:tcPr>
            <w:tcW w:w="5386" w:type="dxa"/>
            <w:vAlign w:val="center"/>
          </w:tcPr>
          <w:p>
            <w:pPr>
              <w:pStyle w:val="12"/>
            </w:pPr>
            <w:r>
              <w:t>通过对评审报告的再次复核，提高建设项目结算价的审减率，从而节约财政资金。平均每项复核报告审减率</w:t>
            </w:r>
          </w:p>
        </w:tc>
        <w:tc>
          <w:tcPr>
            <w:tcW w:w="2268" w:type="dxa"/>
            <w:vAlign w:val="center"/>
          </w:tcPr>
          <w:p>
            <w:pPr>
              <w:pStyle w:val="12"/>
            </w:pPr>
            <w:r>
              <w:t>≥2.6%</w:t>
            </w:r>
          </w:p>
        </w:tc>
        <w:tc>
          <w:tcPr>
            <w:tcW w:w="1276" w:type="dxa"/>
            <w:vAlign w:val="center"/>
          </w:tcPr>
          <w:p>
            <w:pPr>
              <w:pStyle w:val="12"/>
            </w:pPr>
            <w:r>
              <w:t>复核报告</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各项目建设单位的满意率</w:t>
            </w:r>
          </w:p>
        </w:tc>
        <w:tc>
          <w:tcPr>
            <w:tcW w:w="5386" w:type="dxa"/>
            <w:vAlign w:val="center"/>
          </w:tcPr>
          <w:p>
            <w:pPr>
              <w:pStyle w:val="12"/>
            </w:pPr>
            <w:r>
              <w:t>各项目建设单位的满意率</w:t>
            </w:r>
          </w:p>
        </w:tc>
        <w:tc>
          <w:tcPr>
            <w:tcW w:w="2268" w:type="dxa"/>
            <w:vAlign w:val="center"/>
          </w:tcPr>
          <w:p>
            <w:pPr>
              <w:pStyle w:val="12"/>
            </w:pPr>
            <w:r>
              <w:t>≥93%</w:t>
            </w:r>
          </w:p>
        </w:tc>
        <w:tc>
          <w:tcPr>
            <w:tcW w:w="1276" w:type="dxa"/>
            <w:vAlign w:val="center"/>
          </w:tcPr>
          <w:p>
            <w:pPr>
              <w:pStyle w:val="12"/>
            </w:pPr>
            <w:r>
              <w:t>调查情况</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2、评审业务服务费绩效目标表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13031125P00001210003D</w:t>
            </w:r>
          </w:p>
        </w:tc>
        <w:tc>
          <w:tcPr>
            <w:tcW w:w="2835" w:type="dxa"/>
            <w:vAlign w:val="center"/>
          </w:tcPr>
          <w:p>
            <w:pPr>
              <w:pStyle w:val="10"/>
            </w:pPr>
            <w:r>
              <w:t>项目名称</w:t>
            </w:r>
          </w:p>
        </w:tc>
        <w:tc>
          <w:tcPr>
            <w:tcW w:w="6095" w:type="dxa"/>
            <w:gridSpan w:val="3"/>
            <w:vAlign w:val="center"/>
          </w:tcPr>
          <w:p>
            <w:pPr>
              <w:pStyle w:val="12"/>
            </w:pPr>
            <w:r>
              <w:t>评审业务服务费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用于支付委托社会中介机构完成评审工作的服务费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1.通过严格审核制度，确保每笔资金支出的真实有效，使支出金额准确无误。</w:t>
            </w:r>
          </w:p>
          <w:p>
            <w:pPr>
              <w:pStyle w:val="12"/>
            </w:pPr>
            <w:r>
              <w:t>2.通过有效控制开发区财政和国有企业投资进本建设项目的投资成本，发挥财政资金最大使用效益，保障开发区财政和国有企业投资基建项目结算价格合法、客观、公正、严谨。</w:t>
            </w:r>
          </w:p>
          <w:p>
            <w:pPr>
              <w:pStyle w:val="12"/>
            </w:pPr>
            <w:r>
              <w:t>3.通过评审全年完成结算项目及拦标价项目评审约96项，保证平均审减率大于6.5%，偏差率控制在5%以内，做到最大限度的节约财政资金，全年计划产值随实际工作情况及时调整。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评审数量</w:t>
            </w:r>
          </w:p>
        </w:tc>
        <w:tc>
          <w:tcPr>
            <w:tcW w:w="5386" w:type="dxa"/>
            <w:vAlign w:val="center"/>
          </w:tcPr>
          <w:p>
            <w:pPr>
              <w:pStyle w:val="12"/>
            </w:pPr>
            <w:r>
              <w:t>完成评审项目数量</w:t>
            </w:r>
          </w:p>
          <w:p>
            <w:pPr>
              <w:pStyle w:val="12"/>
            </w:pPr>
          </w:p>
        </w:tc>
        <w:tc>
          <w:tcPr>
            <w:tcW w:w="2268" w:type="dxa"/>
            <w:vAlign w:val="center"/>
          </w:tcPr>
          <w:p>
            <w:pPr>
              <w:pStyle w:val="12"/>
            </w:pPr>
            <w:r>
              <w:t>≥96项</w:t>
            </w:r>
          </w:p>
        </w:tc>
        <w:tc>
          <w:tcPr>
            <w:tcW w:w="1276" w:type="dxa"/>
            <w:vAlign w:val="center"/>
          </w:tcPr>
          <w:p>
            <w:pPr>
              <w:pStyle w:val="12"/>
            </w:pPr>
            <w:r>
              <w:t>秦开工办[2022]16号、各建设单位报审项目统计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评审合格率</w:t>
            </w:r>
          </w:p>
        </w:tc>
        <w:tc>
          <w:tcPr>
            <w:tcW w:w="5386" w:type="dxa"/>
            <w:vAlign w:val="center"/>
          </w:tcPr>
          <w:p>
            <w:pPr>
              <w:pStyle w:val="12"/>
            </w:pPr>
            <w:r>
              <w:t>评审项目合格数占总数比例</w:t>
            </w:r>
          </w:p>
        </w:tc>
        <w:tc>
          <w:tcPr>
            <w:tcW w:w="2268" w:type="dxa"/>
            <w:vAlign w:val="center"/>
          </w:tcPr>
          <w:p>
            <w:pPr>
              <w:pStyle w:val="12"/>
            </w:pPr>
            <w:r>
              <w:t>≥97%</w:t>
            </w:r>
          </w:p>
        </w:tc>
        <w:tc>
          <w:tcPr>
            <w:tcW w:w="1276" w:type="dxa"/>
            <w:vAlign w:val="center"/>
          </w:tcPr>
          <w:p>
            <w:pPr>
              <w:pStyle w:val="12"/>
            </w:pPr>
            <w:r>
              <w:t>最终评审报告</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评审项目按时完成率</w:t>
            </w:r>
          </w:p>
        </w:tc>
        <w:tc>
          <w:tcPr>
            <w:tcW w:w="5386" w:type="dxa"/>
            <w:vAlign w:val="center"/>
          </w:tcPr>
          <w:p>
            <w:pPr>
              <w:pStyle w:val="12"/>
            </w:pPr>
            <w:r>
              <w:t>按时完成项目占总项目比例</w:t>
            </w:r>
          </w:p>
        </w:tc>
        <w:tc>
          <w:tcPr>
            <w:tcW w:w="2268" w:type="dxa"/>
            <w:vAlign w:val="center"/>
          </w:tcPr>
          <w:p>
            <w:pPr>
              <w:pStyle w:val="12"/>
            </w:pPr>
            <w:r>
              <w:t>≥75%</w:t>
            </w:r>
          </w:p>
        </w:tc>
        <w:tc>
          <w:tcPr>
            <w:tcW w:w="1276" w:type="dxa"/>
            <w:vAlign w:val="center"/>
          </w:tcPr>
          <w:p>
            <w:pPr>
              <w:pStyle w:val="12"/>
            </w:pPr>
            <w:r>
              <w:t>秦开工办[2022]16号、最终评审报告、框架协议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评审成本</w:t>
            </w:r>
          </w:p>
        </w:tc>
        <w:tc>
          <w:tcPr>
            <w:tcW w:w="5386" w:type="dxa"/>
            <w:vAlign w:val="center"/>
          </w:tcPr>
          <w:p>
            <w:pPr>
              <w:pStyle w:val="12"/>
            </w:pPr>
            <w:r>
              <w:t>参照秦财评审【2016】810号文件计费标准计算每个委托项目的费用，最终付费依据投标后的折扣及最终审减率计算，总支出不超过年初预算。</w:t>
            </w:r>
          </w:p>
        </w:tc>
        <w:tc>
          <w:tcPr>
            <w:tcW w:w="2268" w:type="dxa"/>
            <w:vAlign w:val="center"/>
          </w:tcPr>
          <w:p>
            <w:pPr>
              <w:pStyle w:val="12"/>
            </w:pPr>
            <w:r>
              <w:t>≤180万元</w:t>
            </w:r>
          </w:p>
        </w:tc>
        <w:tc>
          <w:tcPr>
            <w:tcW w:w="1276" w:type="dxa"/>
            <w:vAlign w:val="center"/>
          </w:tcPr>
          <w:p>
            <w:pPr>
              <w:pStyle w:val="12"/>
            </w:pPr>
            <w:r>
              <w:t>秦开工办[2022]16号、最终评审报告、框架协议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评审报告偏差率</w:t>
            </w:r>
          </w:p>
        </w:tc>
        <w:tc>
          <w:tcPr>
            <w:tcW w:w="5386" w:type="dxa"/>
            <w:vAlign w:val="center"/>
          </w:tcPr>
          <w:p>
            <w:pPr>
              <w:pStyle w:val="12"/>
            </w:pPr>
            <w:r>
              <w:t>经复核每项评审报告的偏差率</w:t>
            </w:r>
          </w:p>
        </w:tc>
        <w:tc>
          <w:tcPr>
            <w:tcW w:w="2268" w:type="dxa"/>
            <w:vAlign w:val="center"/>
          </w:tcPr>
          <w:p>
            <w:pPr>
              <w:pStyle w:val="12"/>
            </w:pPr>
            <w:r>
              <w:t>≤5%</w:t>
            </w:r>
          </w:p>
        </w:tc>
        <w:tc>
          <w:tcPr>
            <w:tcW w:w="1276" w:type="dxa"/>
            <w:vAlign w:val="center"/>
          </w:tcPr>
          <w:p>
            <w:pPr>
              <w:pStyle w:val="12"/>
            </w:pPr>
            <w:r>
              <w:t>最终评审报告、框架协议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促进相关制度及管理体系更加完善</w:t>
            </w:r>
          </w:p>
        </w:tc>
        <w:tc>
          <w:tcPr>
            <w:tcW w:w="5386" w:type="dxa"/>
            <w:vAlign w:val="center"/>
          </w:tcPr>
          <w:p>
            <w:pPr>
              <w:pStyle w:val="12"/>
            </w:pPr>
            <w:r>
              <w:t>通过该项目的实施，保障开发区财政及国有企业投资建设项目评审工作及时顺利开展，协助各项目建设单位完成招投标、项目履约等后续工作，促进开发区工程造价的指标在合理的区间内运行，协助各建设单位提高工程项目管理水平。</w:t>
            </w:r>
          </w:p>
        </w:tc>
        <w:tc>
          <w:tcPr>
            <w:tcW w:w="2268" w:type="dxa"/>
            <w:vAlign w:val="center"/>
          </w:tcPr>
          <w:p>
            <w:pPr>
              <w:pStyle w:val="12"/>
            </w:pPr>
            <w:r>
              <w:t>比上年有所提高</w:t>
            </w:r>
          </w:p>
        </w:tc>
        <w:tc>
          <w:tcPr>
            <w:tcW w:w="1276" w:type="dxa"/>
            <w:vAlign w:val="center"/>
          </w:tcPr>
          <w:p>
            <w:pPr>
              <w:pStyle w:val="12"/>
            </w:pPr>
            <w:r>
              <w:t>秦开工办[2022]16号</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项目平均审减率</w:t>
            </w:r>
          </w:p>
        </w:tc>
        <w:tc>
          <w:tcPr>
            <w:tcW w:w="5386" w:type="dxa"/>
            <w:vAlign w:val="center"/>
          </w:tcPr>
          <w:p>
            <w:pPr>
              <w:pStyle w:val="12"/>
            </w:pPr>
            <w:r>
              <w:t>评审报告的平均审减率</w:t>
            </w:r>
          </w:p>
        </w:tc>
        <w:tc>
          <w:tcPr>
            <w:tcW w:w="2268" w:type="dxa"/>
            <w:vAlign w:val="center"/>
          </w:tcPr>
          <w:p>
            <w:pPr>
              <w:pStyle w:val="12"/>
            </w:pPr>
            <w:r>
              <w:t>≥6.5%</w:t>
            </w:r>
          </w:p>
        </w:tc>
        <w:tc>
          <w:tcPr>
            <w:tcW w:w="1276" w:type="dxa"/>
            <w:vAlign w:val="center"/>
          </w:tcPr>
          <w:p>
            <w:pPr>
              <w:pStyle w:val="12"/>
            </w:pPr>
            <w:r>
              <w:t>最终评审报告</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各项目建设单位及主管部门满意率</w:t>
            </w:r>
          </w:p>
        </w:tc>
        <w:tc>
          <w:tcPr>
            <w:tcW w:w="5386" w:type="dxa"/>
            <w:vAlign w:val="center"/>
          </w:tcPr>
          <w:p>
            <w:pPr>
              <w:pStyle w:val="12"/>
            </w:pPr>
            <w:r>
              <w:t>各项目建设单位及主管部门满意率</w:t>
            </w:r>
          </w:p>
        </w:tc>
        <w:tc>
          <w:tcPr>
            <w:tcW w:w="2268" w:type="dxa"/>
            <w:vAlign w:val="center"/>
          </w:tcPr>
          <w:p>
            <w:pPr>
              <w:pStyle w:val="12"/>
            </w:pPr>
            <w:r>
              <w:t>≥92%</w:t>
            </w:r>
          </w:p>
        </w:tc>
        <w:tc>
          <w:tcPr>
            <w:tcW w:w="1276" w:type="dxa"/>
            <w:vAlign w:val="center"/>
          </w:tcPr>
          <w:p>
            <w:pPr>
              <w:pStyle w:val="12"/>
            </w:pPr>
            <w:r>
              <w:t>调查情况</w:t>
            </w:r>
          </w:p>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3、造价软件及询价系统使用维护费绩效目标表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13031125P00013510282J</w:t>
            </w:r>
          </w:p>
        </w:tc>
        <w:tc>
          <w:tcPr>
            <w:tcW w:w="2835" w:type="dxa"/>
            <w:vAlign w:val="center"/>
          </w:tcPr>
          <w:p>
            <w:pPr>
              <w:pStyle w:val="10"/>
            </w:pPr>
            <w:r>
              <w:t>项目名称</w:t>
            </w:r>
          </w:p>
        </w:tc>
        <w:tc>
          <w:tcPr>
            <w:tcW w:w="6095" w:type="dxa"/>
            <w:gridSpan w:val="3"/>
            <w:vAlign w:val="center"/>
          </w:tcPr>
          <w:p>
            <w:pPr>
              <w:pStyle w:val="12"/>
            </w:pPr>
            <w:r>
              <w:t>造价软件及询价系统使用维护费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6.40</w:t>
            </w:r>
          </w:p>
        </w:tc>
        <w:tc>
          <w:tcPr>
            <w:tcW w:w="2835" w:type="dxa"/>
            <w:vAlign w:val="center"/>
          </w:tcPr>
          <w:p>
            <w:pPr>
              <w:pStyle w:val="10"/>
            </w:pPr>
            <w:r>
              <w:t>其中：财政    资金</w:t>
            </w:r>
          </w:p>
        </w:tc>
        <w:tc>
          <w:tcPr>
            <w:tcW w:w="2551" w:type="dxa"/>
            <w:vAlign w:val="center"/>
          </w:tcPr>
          <w:p>
            <w:pPr>
              <w:pStyle w:val="12"/>
            </w:pPr>
            <w:r>
              <w:t>6.40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用于升级维护造价软件及询价系统的费用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1.通过对广联达、新奔腾等软件的升级及维护，确保系统软件正常运行，保障评审工作顺利开展。</w:t>
            </w:r>
          </w:p>
          <w:p>
            <w:pPr>
              <w:pStyle w:val="12"/>
            </w:pPr>
            <w:r>
              <w:t>2.通过开通2套造价咨询系统，辅助工程造价工作，提高评审效率，保障各项评审工作如期完成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维护项目数量</w:t>
            </w:r>
          </w:p>
        </w:tc>
        <w:tc>
          <w:tcPr>
            <w:tcW w:w="5386" w:type="dxa"/>
            <w:vAlign w:val="center"/>
          </w:tcPr>
          <w:p>
            <w:pPr>
              <w:pStyle w:val="12"/>
            </w:pPr>
            <w:r>
              <w:t>软件及询价系统维护项目数量</w:t>
            </w:r>
          </w:p>
        </w:tc>
        <w:tc>
          <w:tcPr>
            <w:tcW w:w="2268" w:type="dxa"/>
            <w:vAlign w:val="center"/>
          </w:tcPr>
          <w:p>
            <w:pPr>
              <w:pStyle w:val="12"/>
            </w:pPr>
            <w:r>
              <w:t>≥4项</w:t>
            </w:r>
          </w:p>
        </w:tc>
        <w:tc>
          <w:tcPr>
            <w:tcW w:w="1276" w:type="dxa"/>
            <w:vAlign w:val="center"/>
          </w:tcPr>
          <w:p>
            <w:pPr>
              <w:pStyle w:val="12"/>
            </w:pPr>
            <w:r>
              <w:t>年度工作计划及系统维护协议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软件系统合格率</w:t>
            </w:r>
          </w:p>
        </w:tc>
        <w:tc>
          <w:tcPr>
            <w:tcW w:w="5386" w:type="dxa"/>
            <w:vAlign w:val="center"/>
          </w:tcPr>
          <w:p>
            <w:pPr>
              <w:pStyle w:val="12"/>
            </w:pPr>
            <w:r>
              <w:t>实际维护项目符合购买前厂商报送的功能的比例</w:t>
            </w:r>
          </w:p>
        </w:tc>
        <w:tc>
          <w:tcPr>
            <w:tcW w:w="2268" w:type="dxa"/>
            <w:vAlign w:val="center"/>
          </w:tcPr>
          <w:p>
            <w:pPr>
              <w:pStyle w:val="12"/>
            </w:pPr>
            <w:r>
              <w:t>≥90%</w:t>
            </w:r>
          </w:p>
        </w:tc>
        <w:tc>
          <w:tcPr>
            <w:tcW w:w="1276" w:type="dxa"/>
            <w:vAlign w:val="center"/>
          </w:tcPr>
          <w:p>
            <w:pPr>
              <w:pStyle w:val="12"/>
            </w:pPr>
            <w:r>
              <w:t>年度工作计划及系统维护协议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广联达续约时间</w:t>
            </w:r>
          </w:p>
        </w:tc>
        <w:tc>
          <w:tcPr>
            <w:tcW w:w="5386" w:type="dxa"/>
            <w:vAlign w:val="center"/>
          </w:tcPr>
          <w:p>
            <w:pPr>
              <w:pStyle w:val="12"/>
            </w:pPr>
            <w:r>
              <w:t>11月底之前</w:t>
            </w:r>
          </w:p>
        </w:tc>
        <w:tc>
          <w:tcPr>
            <w:tcW w:w="2268" w:type="dxa"/>
            <w:vAlign w:val="center"/>
          </w:tcPr>
          <w:p>
            <w:pPr>
              <w:pStyle w:val="12"/>
            </w:pPr>
            <w:r>
              <w:t>11月底之前</w:t>
            </w:r>
          </w:p>
        </w:tc>
        <w:tc>
          <w:tcPr>
            <w:tcW w:w="1276" w:type="dxa"/>
            <w:vAlign w:val="center"/>
          </w:tcPr>
          <w:p>
            <w:pPr>
              <w:pStyle w:val="12"/>
            </w:pPr>
            <w:r>
              <w:t>年度工作计划及系统维护协议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慧讯网开通时间</w:t>
            </w:r>
          </w:p>
        </w:tc>
        <w:tc>
          <w:tcPr>
            <w:tcW w:w="5386" w:type="dxa"/>
            <w:vAlign w:val="center"/>
          </w:tcPr>
          <w:p>
            <w:pPr>
              <w:pStyle w:val="12"/>
            </w:pPr>
            <w:r>
              <w:t>12月底之前</w:t>
            </w:r>
          </w:p>
        </w:tc>
        <w:tc>
          <w:tcPr>
            <w:tcW w:w="2268" w:type="dxa"/>
            <w:vAlign w:val="center"/>
          </w:tcPr>
          <w:p>
            <w:pPr>
              <w:pStyle w:val="12"/>
            </w:pPr>
            <w:r>
              <w:t>12月底之前</w:t>
            </w:r>
          </w:p>
        </w:tc>
        <w:tc>
          <w:tcPr>
            <w:tcW w:w="1276" w:type="dxa"/>
            <w:vAlign w:val="center"/>
          </w:tcPr>
          <w:p>
            <w:pPr>
              <w:pStyle w:val="12"/>
            </w:pPr>
            <w:r>
              <w:t>年度工作计划及系统维护协议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易择网续约开通时间</w:t>
            </w:r>
          </w:p>
        </w:tc>
        <w:tc>
          <w:tcPr>
            <w:tcW w:w="5386" w:type="dxa"/>
            <w:vAlign w:val="center"/>
          </w:tcPr>
          <w:p>
            <w:pPr>
              <w:pStyle w:val="12"/>
            </w:pPr>
            <w:r>
              <w:t>11月底之前</w:t>
            </w:r>
          </w:p>
        </w:tc>
        <w:tc>
          <w:tcPr>
            <w:tcW w:w="2268" w:type="dxa"/>
            <w:vAlign w:val="center"/>
          </w:tcPr>
          <w:p>
            <w:pPr>
              <w:pStyle w:val="12"/>
            </w:pPr>
            <w:r>
              <w:t>11月底之前</w:t>
            </w:r>
          </w:p>
        </w:tc>
        <w:tc>
          <w:tcPr>
            <w:tcW w:w="1276" w:type="dxa"/>
            <w:vAlign w:val="center"/>
          </w:tcPr>
          <w:p>
            <w:pPr>
              <w:pStyle w:val="12"/>
            </w:pPr>
            <w:r>
              <w:t>年度工作计划及系统维护协议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新奔腾开通时间</w:t>
            </w:r>
          </w:p>
        </w:tc>
        <w:tc>
          <w:tcPr>
            <w:tcW w:w="5386" w:type="dxa"/>
            <w:vAlign w:val="center"/>
          </w:tcPr>
          <w:p>
            <w:pPr>
              <w:pStyle w:val="12"/>
            </w:pPr>
            <w:r>
              <w:t>根据工作需求依据软件厂商新造价模块的发布时间适时开通。</w:t>
            </w:r>
          </w:p>
        </w:tc>
        <w:tc>
          <w:tcPr>
            <w:tcW w:w="2268" w:type="dxa"/>
            <w:vAlign w:val="center"/>
          </w:tcPr>
          <w:p>
            <w:pPr>
              <w:pStyle w:val="12"/>
            </w:pPr>
            <w:r>
              <w:t>按约定时间</w:t>
            </w:r>
          </w:p>
        </w:tc>
        <w:tc>
          <w:tcPr>
            <w:tcW w:w="1276" w:type="dxa"/>
            <w:vAlign w:val="center"/>
          </w:tcPr>
          <w:p>
            <w:pPr>
              <w:pStyle w:val="12"/>
            </w:pPr>
            <w:r>
              <w:t>年度工作计划及系统维护协议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新奔腾软件维护成本</w:t>
            </w:r>
          </w:p>
        </w:tc>
        <w:tc>
          <w:tcPr>
            <w:tcW w:w="5386" w:type="dxa"/>
            <w:vAlign w:val="center"/>
          </w:tcPr>
          <w:p>
            <w:pPr>
              <w:pStyle w:val="12"/>
            </w:pPr>
            <w:r>
              <w:t>维护新奔腾软件所支出的费用</w:t>
            </w:r>
          </w:p>
        </w:tc>
        <w:tc>
          <w:tcPr>
            <w:tcW w:w="2268" w:type="dxa"/>
            <w:vAlign w:val="center"/>
          </w:tcPr>
          <w:p>
            <w:pPr>
              <w:pStyle w:val="12"/>
            </w:pPr>
            <w:r>
              <w:t>≤1.61万元</w:t>
            </w:r>
          </w:p>
        </w:tc>
        <w:tc>
          <w:tcPr>
            <w:tcW w:w="1276" w:type="dxa"/>
            <w:vAlign w:val="center"/>
          </w:tcPr>
          <w:p>
            <w:pPr>
              <w:pStyle w:val="12"/>
            </w:pPr>
            <w:r>
              <w:t>依据合同及发票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慧讯网开通成本</w:t>
            </w:r>
          </w:p>
        </w:tc>
        <w:tc>
          <w:tcPr>
            <w:tcW w:w="5386" w:type="dxa"/>
            <w:vAlign w:val="center"/>
          </w:tcPr>
          <w:p>
            <w:pPr>
              <w:pStyle w:val="12"/>
            </w:pPr>
            <w:r>
              <w:t>开通慧讯网询价系统所支付的费用</w:t>
            </w:r>
          </w:p>
        </w:tc>
        <w:tc>
          <w:tcPr>
            <w:tcW w:w="2268" w:type="dxa"/>
            <w:vAlign w:val="center"/>
          </w:tcPr>
          <w:p>
            <w:pPr>
              <w:pStyle w:val="12"/>
            </w:pPr>
            <w:r>
              <w:t>≤0.94万元</w:t>
            </w:r>
          </w:p>
        </w:tc>
        <w:tc>
          <w:tcPr>
            <w:tcW w:w="1276" w:type="dxa"/>
            <w:vAlign w:val="center"/>
          </w:tcPr>
          <w:p>
            <w:pPr>
              <w:pStyle w:val="12"/>
            </w:pPr>
            <w:r>
              <w:t>依据合同及发票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广联达软件开通成本</w:t>
            </w:r>
          </w:p>
        </w:tc>
        <w:tc>
          <w:tcPr>
            <w:tcW w:w="5386" w:type="dxa"/>
            <w:vAlign w:val="center"/>
          </w:tcPr>
          <w:p>
            <w:pPr>
              <w:pStyle w:val="12"/>
            </w:pPr>
            <w:r>
              <w:t>开通广联达软件1年期使用权所支付的费用</w:t>
            </w:r>
          </w:p>
        </w:tc>
        <w:tc>
          <w:tcPr>
            <w:tcW w:w="2268" w:type="dxa"/>
            <w:vAlign w:val="center"/>
          </w:tcPr>
          <w:p>
            <w:pPr>
              <w:pStyle w:val="12"/>
            </w:pPr>
            <w:r>
              <w:t>≤3万元</w:t>
            </w:r>
          </w:p>
        </w:tc>
        <w:tc>
          <w:tcPr>
            <w:tcW w:w="1276" w:type="dxa"/>
            <w:vAlign w:val="center"/>
          </w:tcPr>
          <w:p>
            <w:pPr>
              <w:pStyle w:val="12"/>
            </w:pPr>
            <w:r>
              <w:t>依据合同及发票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易择网开通成本</w:t>
            </w:r>
          </w:p>
        </w:tc>
        <w:tc>
          <w:tcPr>
            <w:tcW w:w="5386" w:type="dxa"/>
            <w:vAlign w:val="center"/>
          </w:tcPr>
          <w:p>
            <w:pPr>
              <w:pStyle w:val="12"/>
            </w:pPr>
            <w:r>
              <w:t>开通慧讯网询价系统所支付的费用</w:t>
            </w:r>
          </w:p>
        </w:tc>
        <w:tc>
          <w:tcPr>
            <w:tcW w:w="2268" w:type="dxa"/>
            <w:vAlign w:val="center"/>
          </w:tcPr>
          <w:p>
            <w:pPr>
              <w:pStyle w:val="12"/>
            </w:pPr>
            <w:r>
              <w:t>≤0.85万元</w:t>
            </w:r>
          </w:p>
        </w:tc>
        <w:tc>
          <w:tcPr>
            <w:tcW w:w="1276" w:type="dxa"/>
            <w:vAlign w:val="center"/>
          </w:tcPr>
          <w:p>
            <w:pPr>
              <w:pStyle w:val="12"/>
            </w:pPr>
            <w:r>
              <w:t>依据合同及发票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保障软件使用时间</w:t>
            </w:r>
          </w:p>
        </w:tc>
        <w:tc>
          <w:tcPr>
            <w:tcW w:w="5386" w:type="dxa"/>
            <w:vAlign w:val="center"/>
          </w:tcPr>
          <w:p>
            <w:pPr>
              <w:pStyle w:val="12"/>
            </w:pPr>
            <w:r>
              <w:t>软件使用时间</w:t>
            </w:r>
          </w:p>
        </w:tc>
        <w:tc>
          <w:tcPr>
            <w:tcW w:w="2268" w:type="dxa"/>
            <w:vAlign w:val="center"/>
          </w:tcPr>
          <w:p>
            <w:pPr>
              <w:pStyle w:val="12"/>
            </w:pPr>
            <w:r>
              <w:t>1年</w:t>
            </w:r>
          </w:p>
        </w:tc>
        <w:tc>
          <w:tcPr>
            <w:tcW w:w="1276" w:type="dxa"/>
            <w:vAlign w:val="center"/>
          </w:tcPr>
          <w:p>
            <w:pPr>
              <w:pStyle w:val="12"/>
            </w:pPr>
            <w:r>
              <w:t>依据服务协议</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提高工作效率</w:t>
            </w:r>
          </w:p>
        </w:tc>
        <w:tc>
          <w:tcPr>
            <w:tcW w:w="5386" w:type="dxa"/>
            <w:vAlign w:val="center"/>
          </w:tcPr>
          <w:p>
            <w:pPr>
              <w:pStyle w:val="12"/>
            </w:pPr>
            <w:r>
              <w:t>通过造价软件和询价系统的应用，保障评审工作顺利开展，评审结果准确、公正、客观。</w:t>
            </w:r>
          </w:p>
        </w:tc>
        <w:tc>
          <w:tcPr>
            <w:tcW w:w="2268" w:type="dxa"/>
            <w:vAlign w:val="center"/>
          </w:tcPr>
          <w:p>
            <w:pPr>
              <w:pStyle w:val="12"/>
            </w:pPr>
            <w:r>
              <w:t>比上年有所提高</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使用人员满意率调查情况</w:t>
            </w:r>
          </w:p>
        </w:tc>
        <w:tc>
          <w:tcPr>
            <w:tcW w:w="2268" w:type="dxa"/>
            <w:vAlign w:val="center"/>
          </w:tcPr>
          <w:p>
            <w:pPr>
              <w:pStyle w:val="12"/>
            </w:pPr>
            <w:r>
              <w:t>≥95%</w:t>
            </w:r>
          </w:p>
        </w:tc>
        <w:tc>
          <w:tcPr>
            <w:tcW w:w="1276" w:type="dxa"/>
            <w:vAlign w:val="center"/>
          </w:tcPr>
          <w:p>
            <w:pPr>
              <w:pStyle w:val="12"/>
            </w:pPr>
            <w:r>
              <w:t>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4、驻场人员专项办公费绩效目标表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13031125P00013510281Y</w:t>
            </w:r>
          </w:p>
        </w:tc>
        <w:tc>
          <w:tcPr>
            <w:tcW w:w="2835" w:type="dxa"/>
            <w:vAlign w:val="center"/>
          </w:tcPr>
          <w:p>
            <w:pPr>
              <w:pStyle w:val="10"/>
            </w:pPr>
            <w:r>
              <w:t>项目名称</w:t>
            </w:r>
          </w:p>
        </w:tc>
        <w:tc>
          <w:tcPr>
            <w:tcW w:w="6095" w:type="dxa"/>
            <w:gridSpan w:val="3"/>
            <w:vAlign w:val="center"/>
          </w:tcPr>
          <w:p>
            <w:pPr>
              <w:pStyle w:val="12"/>
            </w:pPr>
            <w:r>
              <w:t>驻场人员专项办公费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用于支付主场复核人员办公费及清偿往年部分办公费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1.通过偿还所欠办公费用，保障供应商的合法利益</w:t>
            </w:r>
            <w:r>
              <w:tab/>
            </w:r>
          </w:p>
          <w:p>
            <w:pPr>
              <w:pStyle w:val="12"/>
            </w:pPr>
            <w:r>
              <w:t>2.通过采购≥10项种类的办公用品，满足8名驻场复核人员办公需求，以提高工作效率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采购种类数量</w:t>
            </w:r>
          </w:p>
        </w:tc>
        <w:tc>
          <w:tcPr>
            <w:tcW w:w="5386" w:type="dxa"/>
            <w:vAlign w:val="center"/>
          </w:tcPr>
          <w:p>
            <w:pPr>
              <w:pStyle w:val="12"/>
            </w:pPr>
            <w:r>
              <w:t>采购办公用品需要种类数量</w:t>
            </w:r>
          </w:p>
        </w:tc>
        <w:tc>
          <w:tcPr>
            <w:tcW w:w="2268" w:type="dxa"/>
            <w:vAlign w:val="center"/>
          </w:tcPr>
          <w:p>
            <w:pPr>
              <w:pStyle w:val="12"/>
            </w:pPr>
            <w:r>
              <w:t>≥10项</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采购合格率</w:t>
            </w:r>
          </w:p>
        </w:tc>
        <w:tc>
          <w:tcPr>
            <w:tcW w:w="5386" w:type="dxa"/>
            <w:vAlign w:val="center"/>
          </w:tcPr>
          <w:p>
            <w:pPr>
              <w:pStyle w:val="12"/>
            </w:pPr>
            <w:r>
              <w:t>采购合格数量占总数比例</w:t>
            </w:r>
          </w:p>
        </w:tc>
        <w:tc>
          <w:tcPr>
            <w:tcW w:w="2268" w:type="dxa"/>
            <w:vAlign w:val="center"/>
          </w:tcPr>
          <w:p>
            <w:pPr>
              <w:pStyle w:val="12"/>
            </w:pPr>
            <w:r>
              <w:t>≥98%</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费用支付及时率</w:t>
            </w:r>
          </w:p>
        </w:tc>
        <w:tc>
          <w:tcPr>
            <w:tcW w:w="5386" w:type="dxa"/>
            <w:vAlign w:val="center"/>
          </w:tcPr>
          <w:p>
            <w:pPr>
              <w:pStyle w:val="12"/>
            </w:pPr>
            <w:r>
              <w:t>按计划支付时间情况</w:t>
            </w:r>
          </w:p>
        </w:tc>
        <w:tc>
          <w:tcPr>
            <w:tcW w:w="2268" w:type="dxa"/>
            <w:vAlign w:val="center"/>
          </w:tcPr>
          <w:p>
            <w:pPr>
              <w:pStyle w:val="12"/>
            </w:pPr>
            <w:r>
              <w:t>≥90%</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办公费支出成本</w:t>
            </w:r>
          </w:p>
        </w:tc>
        <w:tc>
          <w:tcPr>
            <w:tcW w:w="5386" w:type="dxa"/>
            <w:vAlign w:val="center"/>
          </w:tcPr>
          <w:p>
            <w:pPr>
              <w:pStyle w:val="12"/>
            </w:pPr>
            <w:r>
              <w:t>偿还往年所欠办公费用成本或新购置的办公用品费用</w:t>
            </w:r>
          </w:p>
        </w:tc>
        <w:tc>
          <w:tcPr>
            <w:tcW w:w="2268" w:type="dxa"/>
            <w:vAlign w:val="center"/>
          </w:tcPr>
          <w:p>
            <w:pPr>
              <w:pStyle w:val="12"/>
            </w:pPr>
            <w:r>
              <w:t>≤2万元</w:t>
            </w:r>
          </w:p>
        </w:tc>
        <w:tc>
          <w:tcPr>
            <w:tcW w:w="1276" w:type="dxa"/>
            <w:vAlign w:val="center"/>
          </w:tcPr>
          <w:p>
            <w:pPr>
              <w:pStyle w:val="12"/>
            </w:pPr>
            <w:r>
              <w:t>根据供应商已开具发票金额确定</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驻场人员正常办公率</w:t>
            </w:r>
          </w:p>
        </w:tc>
        <w:tc>
          <w:tcPr>
            <w:tcW w:w="5386" w:type="dxa"/>
            <w:vAlign w:val="center"/>
          </w:tcPr>
          <w:p>
            <w:pPr>
              <w:pStyle w:val="12"/>
            </w:pPr>
            <w:r>
              <w:t>保障驻场复核人员正常、连续、及时开展工作</w:t>
            </w:r>
          </w:p>
        </w:tc>
        <w:tc>
          <w:tcPr>
            <w:tcW w:w="2268" w:type="dxa"/>
            <w:vAlign w:val="center"/>
          </w:tcPr>
          <w:p>
            <w:pPr>
              <w:pStyle w:val="12"/>
            </w:pPr>
            <w:r>
              <w:t>≥95%</w:t>
            </w:r>
          </w:p>
        </w:tc>
        <w:tc>
          <w:tcPr>
            <w:tcW w:w="1276" w:type="dxa"/>
            <w:vAlign w:val="center"/>
          </w:tcPr>
          <w:p>
            <w:pPr>
              <w:pStyle w:val="12"/>
            </w:pPr>
            <w:r>
              <w:t>年初工作计划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驻场人员满意度</w:t>
            </w:r>
          </w:p>
        </w:tc>
        <w:tc>
          <w:tcPr>
            <w:tcW w:w="5386" w:type="dxa"/>
            <w:vAlign w:val="center"/>
          </w:tcPr>
          <w:p>
            <w:pPr>
              <w:pStyle w:val="12"/>
            </w:pPr>
            <w:r>
              <w:t>驻场人员满意度</w:t>
            </w:r>
          </w:p>
        </w:tc>
        <w:tc>
          <w:tcPr>
            <w:tcW w:w="2268" w:type="dxa"/>
            <w:vAlign w:val="center"/>
          </w:tcPr>
          <w:p>
            <w:pPr>
              <w:pStyle w:val="12"/>
            </w:pPr>
            <w:r>
              <w:t>≥98%</w:t>
            </w:r>
          </w:p>
        </w:tc>
        <w:tc>
          <w:tcPr>
            <w:tcW w:w="1276" w:type="dxa"/>
            <w:vAlign w:val="center"/>
          </w:tcPr>
          <w:p>
            <w:pPr>
              <w:pStyle w:val="12"/>
            </w:pPr>
            <w:r>
              <w:t>调查结果</w:t>
            </w:r>
          </w:p>
          <w:p>
            <w:pPr>
              <w:pStyle w:val="12"/>
            </w:pP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280.00</w:t>
            </w:r>
          </w:p>
        </w:tc>
        <w:tc>
          <w:tcPr>
            <w:tcW w:w="964" w:type="dxa"/>
            <w:vAlign w:val="center"/>
          </w:tcPr>
          <w:p>
            <w:pPr>
              <w:pStyle w:val="15"/>
            </w:pPr>
            <w:r>
              <w:t>280.00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秦皇岛经济技术开发区建设项目评审中心(本级)小计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280.00</w:t>
            </w:r>
          </w:p>
        </w:tc>
        <w:tc>
          <w:tcPr>
            <w:tcW w:w="964" w:type="dxa"/>
            <w:vAlign w:val="center"/>
          </w:tcPr>
          <w:p>
            <w:pPr>
              <w:pStyle w:val="15"/>
            </w:pPr>
            <w:r>
              <w:t>280.00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评审项目复核服务费</w:t>
            </w:r>
          </w:p>
        </w:tc>
        <w:tc>
          <w:tcPr>
            <w:tcW w:w="964" w:type="dxa"/>
            <w:vAlign w:val="center"/>
          </w:tcPr>
          <w:p>
            <w:pPr>
              <w:pStyle w:val="11"/>
            </w:pPr>
            <w:r>
              <w:t>100.00</w:t>
            </w:r>
          </w:p>
        </w:tc>
        <w:tc>
          <w:tcPr>
            <w:tcW w:w="1134" w:type="dxa"/>
            <w:vAlign w:val="center"/>
          </w:tcPr>
          <w:p>
            <w:pPr>
              <w:pStyle w:val="12"/>
            </w:pPr>
            <w:r>
              <w:t>其他咨询服务</w:t>
            </w:r>
          </w:p>
        </w:tc>
        <w:tc>
          <w:tcPr>
            <w:tcW w:w="1134" w:type="dxa"/>
            <w:vAlign w:val="center"/>
          </w:tcPr>
          <w:p>
            <w:pPr>
              <w:pStyle w:val="12"/>
            </w:pPr>
            <w:r>
              <w:t>C20039900</w:t>
            </w:r>
          </w:p>
        </w:tc>
        <w:tc>
          <w:tcPr>
            <w:tcW w:w="709" w:type="dxa"/>
            <w:vAlign w:val="center"/>
          </w:tcPr>
          <w:p>
            <w:pPr>
              <w:pStyle w:val="13"/>
            </w:pPr>
            <w:r>
              <w:t>项目</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评审业务服务费</w:t>
            </w:r>
          </w:p>
        </w:tc>
        <w:tc>
          <w:tcPr>
            <w:tcW w:w="964" w:type="dxa"/>
            <w:vAlign w:val="center"/>
          </w:tcPr>
          <w:p>
            <w:pPr>
              <w:pStyle w:val="11"/>
            </w:pPr>
            <w:r>
              <w:t>180.00</w:t>
            </w:r>
          </w:p>
        </w:tc>
        <w:tc>
          <w:tcPr>
            <w:tcW w:w="1134" w:type="dxa"/>
            <w:vAlign w:val="center"/>
          </w:tcPr>
          <w:p>
            <w:pPr>
              <w:pStyle w:val="12"/>
            </w:pPr>
            <w:r>
              <w:t>评审咨询服务</w:t>
            </w:r>
          </w:p>
        </w:tc>
        <w:tc>
          <w:tcPr>
            <w:tcW w:w="1134" w:type="dxa"/>
            <w:vAlign w:val="center"/>
          </w:tcPr>
          <w:p>
            <w:pPr>
              <w:pStyle w:val="12"/>
            </w:pPr>
            <w:r>
              <w:t>C20030900</w:t>
            </w:r>
          </w:p>
        </w:tc>
        <w:tc>
          <w:tcPr>
            <w:tcW w:w="709" w:type="dxa"/>
            <w:vAlign w:val="center"/>
          </w:tcPr>
          <w:p>
            <w:pPr>
              <w:pStyle w:val="13"/>
            </w:pPr>
            <w:r>
              <w:t>项目</w:t>
            </w:r>
          </w:p>
        </w:tc>
        <w:tc>
          <w:tcPr>
            <w:tcW w:w="850" w:type="dxa"/>
            <w:vAlign w:val="center"/>
          </w:tcPr>
          <w:p>
            <w:pPr>
              <w:pStyle w:val="11"/>
            </w:pPr>
            <w:r>
              <w:t>1</w:t>
            </w:r>
          </w:p>
        </w:tc>
        <w:tc>
          <w:tcPr>
            <w:tcW w:w="850" w:type="dxa"/>
            <w:vAlign w:val="center"/>
          </w:tcPr>
          <w:p>
            <w:pPr>
              <w:pStyle w:val="11"/>
            </w:pPr>
            <w:r>
              <w:t>180.00</w:t>
            </w:r>
          </w:p>
        </w:tc>
        <w:tc>
          <w:tcPr>
            <w:tcW w:w="964" w:type="dxa"/>
            <w:vAlign w:val="center"/>
          </w:tcPr>
          <w:p>
            <w:pPr>
              <w:pStyle w:val="11"/>
            </w:pPr>
            <w:r>
              <w:t>180.00</w:t>
            </w:r>
          </w:p>
        </w:tc>
        <w:tc>
          <w:tcPr>
            <w:tcW w:w="964" w:type="dxa"/>
            <w:vAlign w:val="center"/>
          </w:tcPr>
          <w:p>
            <w:pPr>
              <w:pStyle w:val="11"/>
            </w:pPr>
            <w:r>
              <w:t>180.00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秦皇岛经济技术开发区建设项目评审中心(本级)上年末固定资产金额为0.00万元（详见下表）。本年度拟购置固定资产总额为0.00万元，已按要求列入政府采购预算，详见政府采购预算表。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484001秦皇岛经济技术开发区建设项目评审中心(本级)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0472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TotalTime>0</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2025-03-18T12:02:00Z</dcterms:created>
  <dc:creator>Administrator</dc:creator>
  <cp:lastModifiedBy>guest</cp:lastModifiedBy>
  <dcterms:modified xsi:type="dcterms:W3CDTF">2025-03-18T04:07:02Z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