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一、秦皇岛经济技术开发区工信和应急管理局(本级)收支预算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二、秦皇岛经济技术开发区安全生产监察大队收支预算</w:t>
      </w:r>
      <w:r>
        <w:tab/>
      </w:r>
      <w:r>
        <w:fldChar w:fldCharType="begin"/>
      </w:r>
      <w:r>
        <w:instrText xml:space="preserve">PAGEREF _Toc_4_4_0000000002 \h</w:instrText>
      </w:r>
      <w:r>
        <w:fldChar w:fldCharType="separate"/>
      </w:r>
      <w:r>
        <w:t>46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一、秦皇岛经济技术开发区工信和应急管理局(本级)收支预算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b/>
                <w:bCs/>
                <w:color w:val="0070C0"/>
                <w:highlight w:val="none"/>
                <w:lang w:val="en-US" w:eastAsia="zh-CN"/>
              </w:rPr>
              <w:t>1129.08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rPr>
                <w:rFonts w:hint="default" w:eastAsia="方正书宋_GBK"/>
                <w:lang w:val="en-US" w:eastAsia="zh-CN"/>
              </w:rPr>
            </w:pPr>
            <w:r>
              <w:rPr>
                <w:rFonts w:hint="eastAsia"/>
                <w:b/>
                <w:bCs/>
                <w:color w:val="0070C0"/>
                <w:lang w:val="en-US" w:eastAsia="zh-CN"/>
              </w:rPr>
              <w:t>749.39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color w:val="0070C0"/>
                <w:lang w:val="en-US" w:eastAsia="zh-CN"/>
              </w:rPr>
              <w:t>1129.08</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rPr>
                <w:rFonts w:hint="eastAsia"/>
                <w:color w:val="0070C0"/>
                <w:lang w:val="en-US" w:eastAsia="zh-CN"/>
              </w:rPr>
              <w:t>1129.08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color w:val="0070C0"/>
                <w:lang w:val="en-US" w:eastAsia="zh-CN"/>
              </w:rPr>
              <w:t>1129.08</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color w:val="0070C0"/>
                <w:lang w:val="en-US" w:eastAsia="zh-CN"/>
              </w:rPr>
              <w:t>1129.08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59.58</w:t>
            </w:r>
          </w:p>
        </w:tc>
        <w:tc>
          <w:tcPr>
            <w:tcW w:w="1134" w:type="dxa"/>
            <w:vAlign w:val="center"/>
          </w:tcPr>
          <w:p>
            <w:pPr>
              <w:pStyle w:val="11"/>
            </w:pPr>
            <w:r>
              <w:t>59.58</w:t>
            </w:r>
          </w:p>
        </w:tc>
        <w:tc>
          <w:tcPr>
            <w:tcW w:w="1134" w:type="dxa"/>
            <w:vAlign w:val="center"/>
          </w:tcPr>
          <w:p>
            <w:pPr>
              <w:pStyle w:val="11"/>
            </w:pPr>
            <w:r>
              <w:t>59.58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59.58</w:t>
            </w:r>
          </w:p>
        </w:tc>
        <w:tc>
          <w:tcPr>
            <w:tcW w:w="1134" w:type="dxa"/>
            <w:vAlign w:val="center"/>
          </w:tcPr>
          <w:p>
            <w:pPr>
              <w:pStyle w:val="11"/>
            </w:pPr>
            <w:r>
              <w:t>59.58</w:t>
            </w:r>
          </w:p>
        </w:tc>
        <w:tc>
          <w:tcPr>
            <w:tcW w:w="1134" w:type="dxa"/>
            <w:vAlign w:val="center"/>
          </w:tcPr>
          <w:p>
            <w:pPr>
              <w:pStyle w:val="11"/>
            </w:pPr>
            <w:r>
              <w:t>59.58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17.86</w:t>
            </w:r>
          </w:p>
        </w:tc>
        <w:tc>
          <w:tcPr>
            <w:tcW w:w="1134" w:type="dxa"/>
            <w:vAlign w:val="center"/>
          </w:tcPr>
          <w:p>
            <w:pPr>
              <w:pStyle w:val="11"/>
            </w:pPr>
            <w:r>
              <w:t>17.86</w:t>
            </w:r>
          </w:p>
        </w:tc>
        <w:tc>
          <w:tcPr>
            <w:tcW w:w="1134" w:type="dxa"/>
            <w:vAlign w:val="center"/>
          </w:tcPr>
          <w:p>
            <w:pPr>
              <w:pStyle w:val="11"/>
            </w:pPr>
            <w:r>
              <w:t>17.86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19.81</w:t>
            </w:r>
          </w:p>
        </w:tc>
        <w:tc>
          <w:tcPr>
            <w:tcW w:w="1134" w:type="dxa"/>
            <w:vAlign w:val="center"/>
          </w:tcPr>
          <w:p>
            <w:pPr>
              <w:pStyle w:val="11"/>
            </w:pPr>
            <w:r>
              <w:t>19.81</w:t>
            </w:r>
          </w:p>
        </w:tc>
        <w:tc>
          <w:tcPr>
            <w:tcW w:w="1134" w:type="dxa"/>
            <w:vAlign w:val="center"/>
          </w:tcPr>
          <w:p>
            <w:pPr>
              <w:pStyle w:val="11"/>
            </w:pPr>
            <w:r>
              <w:t>19.81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21.91</w:t>
            </w:r>
          </w:p>
        </w:tc>
        <w:tc>
          <w:tcPr>
            <w:tcW w:w="1134" w:type="dxa"/>
            <w:vAlign w:val="center"/>
          </w:tcPr>
          <w:p>
            <w:pPr>
              <w:pStyle w:val="11"/>
            </w:pPr>
            <w:r>
              <w:t>21.91</w:t>
            </w:r>
          </w:p>
        </w:tc>
        <w:tc>
          <w:tcPr>
            <w:tcW w:w="1134" w:type="dxa"/>
            <w:vAlign w:val="center"/>
          </w:tcPr>
          <w:p>
            <w:pPr>
              <w:pStyle w:val="11"/>
            </w:pPr>
            <w:r>
              <w:t>21.91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7.62</w:t>
            </w:r>
          </w:p>
        </w:tc>
        <w:tc>
          <w:tcPr>
            <w:tcW w:w="1134" w:type="dxa"/>
            <w:vAlign w:val="center"/>
          </w:tcPr>
          <w:p>
            <w:pPr>
              <w:pStyle w:val="11"/>
            </w:pPr>
            <w:r>
              <w:t>7.62</w:t>
            </w:r>
          </w:p>
        </w:tc>
        <w:tc>
          <w:tcPr>
            <w:tcW w:w="1134" w:type="dxa"/>
            <w:vAlign w:val="center"/>
          </w:tcPr>
          <w:p>
            <w:pPr>
              <w:pStyle w:val="11"/>
            </w:pPr>
            <w:r>
              <w:t>7.62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10.63</w:t>
            </w:r>
          </w:p>
        </w:tc>
        <w:tc>
          <w:tcPr>
            <w:tcW w:w="1134" w:type="dxa"/>
            <w:vAlign w:val="center"/>
          </w:tcPr>
          <w:p>
            <w:pPr>
              <w:pStyle w:val="11"/>
            </w:pPr>
            <w:r>
              <w:t>10.63</w:t>
            </w:r>
          </w:p>
        </w:tc>
        <w:tc>
          <w:tcPr>
            <w:tcW w:w="1134" w:type="dxa"/>
            <w:vAlign w:val="center"/>
          </w:tcPr>
          <w:p>
            <w:pPr>
              <w:pStyle w:val="11"/>
            </w:pPr>
            <w:r>
              <w:t>10.63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21505</w:t>
            </w:r>
          </w:p>
        </w:tc>
        <w:tc>
          <w:tcPr>
            <w:tcW w:w="1559" w:type="dxa"/>
            <w:vAlign w:val="center"/>
          </w:tcPr>
          <w:p>
            <w:pPr>
              <w:pStyle w:val="12"/>
            </w:pPr>
            <w:r>
              <w:t>工业和信息产业监管</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2150517</w:t>
            </w:r>
          </w:p>
        </w:tc>
        <w:tc>
          <w:tcPr>
            <w:tcW w:w="1559" w:type="dxa"/>
            <w:vAlign w:val="center"/>
          </w:tcPr>
          <w:p>
            <w:pPr>
              <w:pStyle w:val="12"/>
            </w:pPr>
            <w:r>
              <w:t>产业发展</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r>
              <w:t>287.00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r>
              <w:t>14.86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740.63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337.64</w:t>
            </w:r>
          </w:p>
        </w:tc>
        <w:tc>
          <w:tcPr>
            <w:tcW w:w="1134" w:type="dxa"/>
            <w:vAlign w:val="center"/>
          </w:tcPr>
          <w:p>
            <w:pPr>
              <w:pStyle w:val="11"/>
            </w:pPr>
            <w:r>
              <w:t>337.64</w:t>
            </w:r>
          </w:p>
        </w:tc>
        <w:tc>
          <w:tcPr>
            <w:tcW w:w="1134" w:type="dxa"/>
            <w:vAlign w:val="center"/>
          </w:tcPr>
          <w:p>
            <w:pPr>
              <w:pStyle w:val="11"/>
            </w:pPr>
            <w:r>
              <w:t>337.64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22.07</w:t>
            </w:r>
          </w:p>
        </w:tc>
        <w:tc>
          <w:tcPr>
            <w:tcW w:w="1134" w:type="dxa"/>
            <w:vAlign w:val="center"/>
          </w:tcPr>
          <w:p>
            <w:pPr>
              <w:pStyle w:val="11"/>
            </w:pPr>
            <w:r>
              <w:t>22.07</w:t>
            </w:r>
          </w:p>
        </w:tc>
        <w:tc>
          <w:tcPr>
            <w:tcW w:w="1134" w:type="dxa"/>
            <w:vAlign w:val="center"/>
          </w:tcPr>
          <w:p>
            <w:pPr>
              <w:pStyle w:val="11"/>
            </w:pPr>
            <w:r>
              <w:t>22.07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2240108</w:t>
            </w:r>
          </w:p>
        </w:tc>
        <w:tc>
          <w:tcPr>
            <w:tcW w:w="1559" w:type="dxa"/>
            <w:vAlign w:val="center"/>
          </w:tcPr>
          <w:p>
            <w:pPr>
              <w:pStyle w:val="12"/>
            </w:pPr>
            <w:r>
              <w:t>应急救援</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1"/>
              <w:rPr>
                <w:rFonts w:hint="default" w:eastAsia="方正书宋_GBK"/>
                <w:color w:val="0070C0"/>
                <w:lang w:val="en-US" w:eastAsia="zh-CN"/>
              </w:rPr>
            </w:pPr>
            <w:r>
              <w:rPr>
                <w:rFonts w:hint="eastAsia"/>
                <w:color w:val="0070C0"/>
                <w:lang w:val="en-US" w:eastAsia="zh-CN"/>
              </w:rPr>
              <w:t>305.92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rPr>
                <w:rFonts w:hint="eastAsia"/>
                <w:color w:val="0070C0"/>
                <w:lang w:val="en-US" w:eastAsia="zh-CN"/>
              </w:rPr>
              <w:t>1129.08</w:t>
            </w:r>
          </w:p>
        </w:tc>
        <w:tc>
          <w:tcPr>
            <w:tcW w:w="1361" w:type="dxa"/>
            <w:vAlign w:val="center"/>
          </w:tcPr>
          <w:p>
            <w:pPr>
              <w:pStyle w:val="15"/>
            </w:pPr>
            <w:r>
              <w:t>430.33</w:t>
            </w:r>
          </w:p>
        </w:tc>
        <w:tc>
          <w:tcPr>
            <w:tcW w:w="1361" w:type="dxa"/>
            <w:vAlign w:val="center"/>
          </w:tcPr>
          <w:p>
            <w:pPr>
              <w:pStyle w:val="15"/>
              <w:rPr>
                <w:rFonts w:hint="default" w:eastAsia="方正书宋_GBK"/>
                <w:lang w:val="en-US" w:eastAsia="zh-CN"/>
              </w:rPr>
            </w:pPr>
            <w:r>
              <w:rPr>
                <w:rFonts w:hint="eastAsia"/>
                <w:color w:val="0070C0"/>
                <w:lang w:val="en-US" w:eastAsia="zh-CN"/>
              </w:rPr>
              <w:t>698.75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59.58</w:t>
            </w:r>
          </w:p>
        </w:tc>
        <w:tc>
          <w:tcPr>
            <w:tcW w:w="1361" w:type="dxa"/>
            <w:vAlign w:val="center"/>
          </w:tcPr>
          <w:p>
            <w:pPr>
              <w:pStyle w:val="11"/>
            </w:pPr>
            <w:r>
              <w:t>59.58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59.58</w:t>
            </w:r>
          </w:p>
        </w:tc>
        <w:tc>
          <w:tcPr>
            <w:tcW w:w="1361" w:type="dxa"/>
            <w:vAlign w:val="center"/>
          </w:tcPr>
          <w:p>
            <w:pPr>
              <w:pStyle w:val="11"/>
            </w:pPr>
            <w:r>
              <w:t>59.58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17.86</w:t>
            </w:r>
          </w:p>
        </w:tc>
        <w:tc>
          <w:tcPr>
            <w:tcW w:w="1361" w:type="dxa"/>
            <w:vAlign w:val="center"/>
          </w:tcPr>
          <w:p>
            <w:pPr>
              <w:pStyle w:val="11"/>
            </w:pPr>
            <w:r>
              <w:t>17.86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19.81</w:t>
            </w:r>
          </w:p>
        </w:tc>
        <w:tc>
          <w:tcPr>
            <w:tcW w:w="1361" w:type="dxa"/>
            <w:vAlign w:val="center"/>
          </w:tcPr>
          <w:p>
            <w:pPr>
              <w:pStyle w:val="11"/>
            </w:pPr>
            <w:r>
              <w:t>19.81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21.91</w:t>
            </w:r>
          </w:p>
        </w:tc>
        <w:tc>
          <w:tcPr>
            <w:tcW w:w="1361" w:type="dxa"/>
            <w:vAlign w:val="center"/>
          </w:tcPr>
          <w:p>
            <w:pPr>
              <w:pStyle w:val="11"/>
            </w:pPr>
            <w:r>
              <w:t>21.91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18.25</w:t>
            </w:r>
          </w:p>
        </w:tc>
        <w:tc>
          <w:tcPr>
            <w:tcW w:w="1361" w:type="dxa"/>
            <w:vAlign w:val="center"/>
          </w:tcPr>
          <w:p>
            <w:pPr>
              <w:pStyle w:val="11"/>
            </w:pPr>
            <w:r>
              <w:t>18.25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18.25</w:t>
            </w:r>
          </w:p>
        </w:tc>
        <w:tc>
          <w:tcPr>
            <w:tcW w:w="1361" w:type="dxa"/>
            <w:vAlign w:val="center"/>
          </w:tcPr>
          <w:p>
            <w:pPr>
              <w:pStyle w:val="11"/>
            </w:pPr>
            <w:r>
              <w:t>18.25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7.62</w:t>
            </w:r>
          </w:p>
        </w:tc>
        <w:tc>
          <w:tcPr>
            <w:tcW w:w="1361" w:type="dxa"/>
            <w:vAlign w:val="center"/>
          </w:tcPr>
          <w:p>
            <w:pPr>
              <w:pStyle w:val="11"/>
            </w:pPr>
            <w:r>
              <w:t>7.62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10.63</w:t>
            </w:r>
          </w:p>
        </w:tc>
        <w:tc>
          <w:tcPr>
            <w:tcW w:w="1361" w:type="dxa"/>
            <w:vAlign w:val="center"/>
          </w:tcPr>
          <w:p>
            <w:pPr>
              <w:pStyle w:val="11"/>
            </w:pPr>
            <w:r>
              <w:t>10.63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21505</w:t>
            </w:r>
          </w:p>
        </w:tc>
        <w:tc>
          <w:tcPr>
            <w:tcW w:w="4535" w:type="dxa"/>
            <w:vAlign w:val="center"/>
          </w:tcPr>
          <w:p>
            <w:pPr>
              <w:pStyle w:val="12"/>
            </w:pPr>
            <w:r>
              <w:t>工业和信息产业监管</w:t>
            </w: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2150517</w:t>
            </w:r>
          </w:p>
        </w:tc>
        <w:tc>
          <w:tcPr>
            <w:tcW w:w="4535" w:type="dxa"/>
            <w:vAlign w:val="center"/>
          </w:tcPr>
          <w:p>
            <w:pPr>
              <w:pStyle w:val="12"/>
            </w:pPr>
            <w:r>
              <w:t>产业发展</w:t>
            </w: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r>
              <w:t>287.00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14.86</w:t>
            </w:r>
          </w:p>
        </w:tc>
        <w:tc>
          <w:tcPr>
            <w:tcW w:w="1361" w:type="dxa"/>
            <w:vAlign w:val="center"/>
          </w:tcPr>
          <w:p>
            <w:pPr>
              <w:pStyle w:val="11"/>
            </w:pPr>
            <w:r>
              <w:t>14.86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14.86</w:t>
            </w:r>
          </w:p>
        </w:tc>
        <w:tc>
          <w:tcPr>
            <w:tcW w:w="1361" w:type="dxa"/>
            <w:vAlign w:val="center"/>
          </w:tcPr>
          <w:p>
            <w:pPr>
              <w:pStyle w:val="11"/>
            </w:pPr>
            <w:r>
              <w:t>14.86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14.86</w:t>
            </w:r>
          </w:p>
        </w:tc>
        <w:tc>
          <w:tcPr>
            <w:tcW w:w="1361" w:type="dxa"/>
            <w:vAlign w:val="center"/>
          </w:tcPr>
          <w:p>
            <w:pPr>
              <w:pStyle w:val="11"/>
            </w:pPr>
            <w:r>
              <w:t>14.86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rPr>
                <w:rFonts w:hint="default" w:eastAsia="方正书宋_GBK"/>
                <w:lang w:val="en-US" w:eastAsia="zh-CN"/>
              </w:rPr>
            </w:pPr>
            <w:r>
              <w:rPr>
                <w:rFonts w:hint="eastAsia"/>
                <w:color w:val="0070C0"/>
                <w:lang w:val="en-US" w:eastAsia="zh-CN"/>
              </w:rPr>
              <w:t>749.39</w:t>
            </w:r>
          </w:p>
        </w:tc>
        <w:tc>
          <w:tcPr>
            <w:tcW w:w="1361" w:type="dxa"/>
            <w:vAlign w:val="center"/>
          </w:tcPr>
          <w:p>
            <w:pPr>
              <w:pStyle w:val="11"/>
            </w:pPr>
            <w:r>
              <w:t>337.64</w:t>
            </w:r>
          </w:p>
        </w:tc>
        <w:tc>
          <w:tcPr>
            <w:tcW w:w="1361" w:type="dxa"/>
            <w:vAlign w:val="center"/>
          </w:tcPr>
          <w:p>
            <w:pPr>
              <w:pStyle w:val="11"/>
              <w:rPr>
                <w:rFonts w:hint="default" w:eastAsia="方正书宋_GBK"/>
                <w:lang w:val="en-US" w:eastAsia="zh-CN"/>
              </w:rPr>
            </w:pPr>
            <w:r>
              <w:rPr>
                <w:rFonts w:hint="eastAsia"/>
                <w:color w:val="0070C0"/>
                <w:lang w:val="en-US" w:eastAsia="zh-CN"/>
              </w:rPr>
              <w:t>411.75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rPr>
                <w:rFonts w:hint="default" w:eastAsia="方正书宋_GBK"/>
                <w:lang w:val="en-US" w:eastAsia="zh-CN"/>
              </w:rPr>
            </w:pPr>
            <w:r>
              <w:rPr>
                <w:rFonts w:hint="eastAsia"/>
                <w:color w:val="0070C0"/>
                <w:lang w:val="en-US" w:eastAsia="zh-CN"/>
              </w:rPr>
              <w:t>740.63</w:t>
            </w:r>
          </w:p>
        </w:tc>
        <w:tc>
          <w:tcPr>
            <w:tcW w:w="1361" w:type="dxa"/>
            <w:vAlign w:val="center"/>
          </w:tcPr>
          <w:p>
            <w:pPr>
              <w:pStyle w:val="11"/>
            </w:pPr>
            <w:r>
              <w:t>337.64</w:t>
            </w:r>
          </w:p>
        </w:tc>
        <w:tc>
          <w:tcPr>
            <w:tcW w:w="1361" w:type="dxa"/>
            <w:vAlign w:val="center"/>
          </w:tcPr>
          <w:p>
            <w:pPr>
              <w:pStyle w:val="11"/>
              <w:rPr>
                <w:rFonts w:hint="default" w:eastAsia="方正书宋_GBK"/>
                <w:lang w:val="en-US" w:eastAsia="zh-CN"/>
              </w:rPr>
            </w:pPr>
            <w:r>
              <w:rPr>
                <w:rFonts w:hint="eastAsia"/>
                <w:color w:val="0070C0"/>
                <w:lang w:val="en-US" w:eastAsia="zh-CN"/>
              </w:rPr>
              <w:t>402.99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337.64</w:t>
            </w:r>
          </w:p>
        </w:tc>
        <w:tc>
          <w:tcPr>
            <w:tcW w:w="1361" w:type="dxa"/>
            <w:vAlign w:val="center"/>
          </w:tcPr>
          <w:p>
            <w:pPr>
              <w:pStyle w:val="11"/>
            </w:pPr>
            <w:r>
              <w:t>337.64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22.07</w:t>
            </w:r>
          </w:p>
        </w:tc>
        <w:tc>
          <w:tcPr>
            <w:tcW w:w="1361" w:type="dxa"/>
            <w:vAlign w:val="center"/>
          </w:tcPr>
          <w:p>
            <w:pPr>
              <w:pStyle w:val="11"/>
            </w:pPr>
          </w:p>
        </w:tc>
        <w:tc>
          <w:tcPr>
            <w:tcW w:w="1361" w:type="dxa"/>
            <w:vAlign w:val="center"/>
          </w:tcPr>
          <w:p>
            <w:pPr>
              <w:pStyle w:val="11"/>
            </w:pPr>
            <w:r>
              <w:t>22.07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r>
              <w:t>75.00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2240108</w:t>
            </w:r>
          </w:p>
        </w:tc>
        <w:tc>
          <w:tcPr>
            <w:tcW w:w="4535" w:type="dxa"/>
            <w:vAlign w:val="center"/>
          </w:tcPr>
          <w:p>
            <w:pPr>
              <w:pStyle w:val="12"/>
            </w:pPr>
            <w:r>
              <w:t>应急救援</w:t>
            </w:r>
          </w:p>
        </w:tc>
        <w:tc>
          <w:tcPr>
            <w:tcW w:w="1361" w:type="dxa"/>
            <w:vAlign w:val="center"/>
          </w:tcPr>
          <w:p>
            <w:pPr>
              <w:pStyle w:val="11"/>
              <w:rPr>
                <w:rFonts w:hint="default" w:eastAsia="方正书宋_GBK"/>
                <w:lang w:val="en-US" w:eastAsia="zh-CN"/>
              </w:rPr>
            </w:pPr>
            <w:r>
              <w:rPr>
                <w:rFonts w:hint="eastAsia"/>
                <w:color w:val="0070C0"/>
                <w:lang w:val="en-US" w:eastAsia="zh-CN"/>
              </w:rPr>
              <w:t>305.92</w:t>
            </w:r>
          </w:p>
        </w:tc>
        <w:tc>
          <w:tcPr>
            <w:tcW w:w="1361" w:type="dxa"/>
            <w:vAlign w:val="center"/>
          </w:tcPr>
          <w:p>
            <w:pPr>
              <w:pStyle w:val="11"/>
            </w:pPr>
          </w:p>
        </w:tc>
        <w:tc>
          <w:tcPr>
            <w:tcW w:w="1361" w:type="dxa"/>
            <w:vAlign w:val="center"/>
          </w:tcPr>
          <w:p>
            <w:pPr>
              <w:pStyle w:val="11"/>
              <w:rPr>
                <w:rFonts w:hint="default" w:eastAsia="方正书宋_GBK"/>
                <w:lang w:val="en-US" w:eastAsia="zh-CN"/>
              </w:rPr>
            </w:pPr>
            <w:r>
              <w:rPr>
                <w:rFonts w:hint="eastAsia"/>
                <w:color w:val="0070C0"/>
                <w:lang w:val="en-US" w:eastAsia="zh-CN"/>
              </w:rPr>
              <w:t>305.92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rPr>
                <w:rFonts w:hint="eastAsia"/>
                <w:color w:val="0070C0"/>
                <w:lang w:val="en-US" w:eastAsia="zh-CN"/>
              </w:rPr>
              <w:t>1129.08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59.58</w:t>
            </w:r>
          </w:p>
        </w:tc>
        <w:tc>
          <w:tcPr>
            <w:tcW w:w="1474" w:type="dxa"/>
            <w:vAlign w:val="center"/>
          </w:tcPr>
          <w:p>
            <w:pPr>
              <w:pStyle w:val="11"/>
            </w:pPr>
            <w:r>
              <w:t>59.58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18.25</w:t>
            </w:r>
          </w:p>
        </w:tc>
        <w:tc>
          <w:tcPr>
            <w:tcW w:w="1474" w:type="dxa"/>
            <w:vAlign w:val="center"/>
          </w:tcPr>
          <w:p>
            <w:pPr>
              <w:pStyle w:val="11"/>
            </w:pPr>
            <w:r>
              <w:t>18.25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287.00</w:t>
            </w:r>
          </w:p>
        </w:tc>
        <w:tc>
          <w:tcPr>
            <w:tcW w:w="1474" w:type="dxa"/>
            <w:vAlign w:val="center"/>
          </w:tcPr>
          <w:p>
            <w:pPr>
              <w:pStyle w:val="11"/>
            </w:pPr>
            <w:r>
              <w:t>287.00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14.86</w:t>
            </w:r>
          </w:p>
        </w:tc>
        <w:tc>
          <w:tcPr>
            <w:tcW w:w="1474" w:type="dxa"/>
            <w:vAlign w:val="center"/>
          </w:tcPr>
          <w:p>
            <w:pPr>
              <w:pStyle w:val="11"/>
            </w:pPr>
            <w:r>
              <w:t>14.86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1474"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rPr>
                <w:rFonts w:hint="eastAsia"/>
                <w:color w:val="0070C0"/>
                <w:lang w:val="en-US" w:eastAsia="zh-CN"/>
              </w:rPr>
              <w:t>1129.08</w:t>
            </w:r>
          </w:p>
        </w:tc>
        <w:tc>
          <w:tcPr>
            <w:tcW w:w="3402" w:type="dxa"/>
            <w:vAlign w:val="center"/>
          </w:tcPr>
          <w:p>
            <w:pPr>
              <w:pStyle w:val="14"/>
            </w:pPr>
            <w:r>
              <w:t>本年支出合计</w:t>
            </w:r>
          </w:p>
        </w:tc>
        <w:tc>
          <w:tcPr>
            <w:tcW w:w="147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rPr>
                <w:rFonts w:hint="eastAsia"/>
                <w:color w:val="0070C0"/>
                <w:lang w:val="en-US" w:eastAsia="zh-CN"/>
              </w:rPr>
              <w:t>1129.08</w:t>
            </w:r>
          </w:p>
        </w:tc>
        <w:tc>
          <w:tcPr>
            <w:tcW w:w="3402" w:type="dxa"/>
            <w:vAlign w:val="center"/>
          </w:tcPr>
          <w:p>
            <w:pPr>
              <w:pStyle w:val="14"/>
            </w:pPr>
            <w:r>
              <w:t>支出总计</w:t>
            </w:r>
          </w:p>
        </w:tc>
        <w:tc>
          <w:tcPr>
            <w:tcW w:w="147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pPr>
              <w:pStyle w:val="15"/>
              <w:rPr>
                <w:rFonts w:hint="default" w:eastAsia="方正书宋_GBK"/>
                <w:color w:val="0070C0"/>
                <w:lang w:val="en-US" w:eastAsia="zh-CN"/>
              </w:rPr>
            </w:pPr>
            <w:r>
              <w:rPr>
                <w:rFonts w:hint="eastAsia"/>
                <w:color w:val="0070C0"/>
                <w:lang w:val="en-US" w:eastAsia="zh-CN"/>
              </w:rPr>
              <w:t>1129.08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rPr>
                <w:rFonts w:hint="eastAsia"/>
                <w:color w:val="0070C0"/>
                <w:lang w:val="en-US" w:eastAsia="zh-CN"/>
              </w:rPr>
              <w:t>1129.08</w:t>
            </w:r>
          </w:p>
        </w:tc>
        <w:tc>
          <w:tcPr>
            <w:tcW w:w="2551" w:type="dxa"/>
            <w:vAlign w:val="center"/>
          </w:tcPr>
          <w:p>
            <w:pPr>
              <w:pStyle w:val="15"/>
            </w:pPr>
            <w:r>
              <w:t>430.33</w:t>
            </w:r>
          </w:p>
        </w:tc>
        <w:tc>
          <w:tcPr>
            <w:tcW w:w="2551" w:type="dxa"/>
            <w:vAlign w:val="center"/>
          </w:tcPr>
          <w:p>
            <w:pPr>
              <w:pStyle w:val="15"/>
              <w:rPr>
                <w:rFonts w:hint="default" w:eastAsia="方正书宋_GBK"/>
                <w:lang w:val="en-US" w:eastAsia="zh-CN"/>
              </w:rPr>
            </w:pPr>
            <w:r>
              <w:rPr>
                <w:rFonts w:hint="eastAsia"/>
                <w:color w:val="0070C0"/>
                <w:lang w:val="en-US" w:eastAsia="zh-CN"/>
              </w:rPr>
              <w:t>698.75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59.58</w:t>
            </w:r>
          </w:p>
        </w:tc>
        <w:tc>
          <w:tcPr>
            <w:tcW w:w="2551" w:type="dxa"/>
            <w:vAlign w:val="center"/>
          </w:tcPr>
          <w:p>
            <w:pPr>
              <w:pStyle w:val="11"/>
            </w:pPr>
            <w:r>
              <w:t>59.58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59.58</w:t>
            </w:r>
          </w:p>
        </w:tc>
        <w:tc>
          <w:tcPr>
            <w:tcW w:w="2551" w:type="dxa"/>
            <w:vAlign w:val="center"/>
          </w:tcPr>
          <w:p>
            <w:pPr>
              <w:pStyle w:val="11"/>
            </w:pPr>
            <w:r>
              <w:t>59.58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17.86</w:t>
            </w:r>
          </w:p>
        </w:tc>
        <w:tc>
          <w:tcPr>
            <w:tcW w:w="2551" w:type="dxa"/>
            <w:vAlign w:val="center"/>
          </w:tcPr>
          <w:p>
            <w:pPr>
              <w:pStyle w:val="11"/>
            </w:pPr>
            <w:r>
              <w:t>17.86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19.81</w:t>
            </w:r>
          </w:p>
        </w:tc>
        <w:tc>
          <w:tcPr>
            <w:tcW w:w="2551" w:type="dxa"/>
            <w:vAlign w:val="center"/>
          </w:tcPr>
          <w:p>
            <w:pPr>
              <w:pStyle w:val="11"/>
            </w:pPr>
            <w:r>
              <w:t>19.81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21.91</w:t>
            </w:r>
          </w:p>
        </w:tc>
        <w:tc>
          <w:tcPr>
            <w:tcW w:w="2551" w:type="dxa"/>
            <w:vAlign w:val="center"/>
          </w:tcPr>
          <w:p>
            <w:pPr>
              <w:pStyle w:val="11"/>
            </w:pPr>
            <w:r>
              <w:t>21.91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7.62</w:t>
            </w:r>
          </w:p>
        </w:tc>
        <w:tc>
          <w:tcPr>
            <w:tcW w:w="2551" w:type="dxa"/>
            <w:vAlign w:val="center"/>
          </w:tcPr>
          <w:p>
            <w:pPr>
              <w:pStyle w:val="11"/>
            </w:pPr>
            <w:r>
              <w:t>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10.63</w:t>
            </w:r>
          </w:p>
        </w:tc>
        <w:tc>
          <w:tcPr>
            <w:tcW w:w="2551" w:type="dxa"/>
            <w:vAlign w:val="center"/>
          </w:tcPr>
          <w:p>
            <w:pPr>
              <w:pStyle w:val="11"/>
            </w:pPr>
            <w:r>
              <w:t>10.63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287.00</w:t>
            </w:r>
          </w:p>
        </w:tc>
        <w:tc>
          <w:tcPr>
            <w:tcW w:w="2551" w:type="dxa"/>
            <w:vAlign w:val="center"/>
          </w:tcPr>
          <w:p>
            <w:pPr>
              <w:pStyle w:val="11"/>
            </w:pPr>
          </w:p>
        </w:tc>
        <w:tc>
          <w:tcPr>
            <w:tcW w:w="2551" w:type="dxa"/>
            <w:vAlign w:val="center"/>
          </w:tcPr>
          <w:p>
            <w:pPr>
              <w:pStyle w:val="11"/>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21505</w:t>
            </w:r>
          </w:p>
        </w:tc>
        <w:tc>
          <w:tcPr>
            <w:tcW w:w="4535" w:type="dxa"/>
            <w:vAlign w:val="center"/>
          </w:tcPr>
          <w:p>
            <w:pPr>
              <w:pStyle w:val="12"/>
            </w:pPr>
            <w:r>
              <w:t>工业和信息产业监管</w:t>
            </w:r>
          </w:p>
        </w:tc>
        <w:tc>
          <w:tcPr>
            <w:tcW w:w="2551" w:type="dxa"/>
            <w:vAlign w:val="center"/>
          </w:tcPr>
          <w:p>
            <w:pPr>
              <w:pStyle w:val="11"/>
            </w:pPr>
            <w:r>
              <w:t>287.00</w:t>
            </w:r>
          </w:p>
        </w:tc>
        <w:tc>
          <w:tcPr>
            <w:tcW w:w="2551" w:type="dxa"/>
            <w:vAlign w:val="center"/>
          </w:tcPr>
          <w:p>
            <w:pPr>
              <w:pStyle w:val="11"/>
            </w:pPr>
          </w:p>
        </w:tc>
        <w:tc>
          <w:tcPr>
            <w:tcW w:w="2551" w:type="dxa"/>
            <w:vAlign w:val="center"/>
          </w:tcPr>
          <w:p>
            <w:pPr>
              <w:pStyle w:val="11"/>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2150517</w:t>
            </w:r>
          </w:p>
        </w:tc>
        <w:tc>
          <w:tcPr>
            <w:tcW w:w="4535" w:type="dxa"/>
            <w:vAlign w:val="center"/>
          </w:tcPr>
          <w:p>
            <w:pPr>
              <w:pStyle w:val="12"/>
            </w:pPr>
            <w:r>
              <w:t>产业发展</w:t>
            </w:r>
          </w:p>
        </w:tc>
        <w:tc>
          <w:tcPr>
            <w:tcW w:w="2551" w:type="dxa"/>
            <w:vAlign w:val="center"/>
          </w:tcPr>
          <w:p>
            <w:pPr>
              <w:pStyle w:val="11"/>
            </w:pPr>
            <w:r>
              <w:t>287.00</w:t>
            </w:r>
          </w:p>
        </w:tc>
        <w:tc>
          <w:tcPr>
            <w:tcW w:w="2551" w:type="dxa"/>
            <w:vAlign w:val="center"/>
          </w:tcPr>
          <w:p>
            <w:pPr>
              <w:pStyle w:val="11"/>
            </w:pPr>
          </w:p>
        </w:tc>
        <w:tc>
          <w:tcPr>
            <w:tcW w:w="2551" w:type="dxa"/>
            <w:vAlign w:val="center"/>
          </w:tcPr>
          <w:p>
            <w:pPr>
              <w:pStyle w:val="11"/>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14.86</w:t>
            </w:r>
          </w:p>
        </w:tc>
        <w:tc>
          <w:tcPr>
            <w:tcW w:w="2551" w:type="dxa"/>
            <w:vAlign w:val="center"/>
          </w:tcPr>
          <w:p>
            <w:pPr>
              <w:pStyle w:val="11"/>
            </w:pPr>
            <w:r>
              <w:t>14.86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14.86</w:t>
            </w:r>
          </w:p>
        </w:tc>
        <w:tc>
          <w:tcPr>
            <w:tcW w:w="2551" w:type="dxa"/>
            <w:vAlign w:val="center"/>
          </w:tcPr>
          <w:p>
            <w:pPr>
              <w:pStyle w:val="11"/>
            </w:pPr>
            <w:r>
              <w:t>14.86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14.86</w:t>
            </w:r>
          </w:p>
        </w:tc>
        <w:tc>
          <w:tcPr>
            <w:tcW w:w="2551" w:type="dxa"/>
            <w:vAlign w:val="center"/>
          </w:tcPr>
          <w:p>
            <w:pPr>
              <w:pStyle w:val="11"/>
            </w:pPr>
            <w:r>
              <w:t>14.86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rPr>
                <w:rFonts w:hint="default" w:eastAsia="方正书宋_GBK"/>
                <w:color w:val="0070C0"/>
                <w:lang w:val="en-US" w:eastAsia="zh-CN"/>
              </w:rPr>
            </w:pPr>
            <w:r>
              <w:rPr>
                <w:rFonts w:hint="eastAsia"/>
                <w:color w:val="0070C0"/>
                <w:lang w:val="en-US" w:eastAsia="zh-CN"/>
              </w:rPr>
              <w:t>749.39</w:t>
            </w:r>
          </w:p>
        </w:tc>
        <w:tc>
          <w:tcPr>
            <w:tcW w:w="2551" w:type="dxa"/>
            <w:vAlign w:val="center"/>
          </w:tcPr>
          <w:p>
            <w:pPr>
              <w:pStyle w:val="11"/>
            </w:pPr>
            <w:r>
              <w:t>337.64</w:t>
            </w:r>
          </w:p>
        </w:tc>
        <w:tc>
          <w:tcPr>
            <w:tcW w:w="2551" w:type="dxa"/>
            <w:vAlign w:val="center"/>
          </w:tcPr>
          <w:p>
            <w:pPr>
              <w:pStyle w:val="11"/>
              <w:rPr>
                <w:rFonts w:hint="default" w:eastAsia="方正书宋_GBK"/>
                <w:color w:val="0070C0"/>
                <w:lang w:val="en-US" w:eastAsia="zh-CN"/>
              </w:rPr>
            </w:pPr>
            <w:r>
              <w:rPr>
                <w:rFonts w:hint="eastAsia"/>
                <w:color w:val="0070C0"/>
                <w:lang w:val="en-US" w:eastAsia="zh-CN"/>
              </w:rP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rPr>
                <w:rFonts w:hint="default" w:eastAsia="方正书宋_GBK"/>
                <w:color w:val="0070C0"/>
                <w:lang w:val="en-US" w:eastAsia="zh-CN"/>
              </w:rPr>
            </w:pPr>
            <w:r>
              <w:rPr>
                <w:rFonts w:hint="eastAsia"/>
                <w:color w:val="0070C0"/>
                <w:lang w:val="en-US" w:eastAsia="zh-CN"/>
              </w:rPr>
              <w:t>740.63</w:t>
            </w:r>
          </w:p>
        </w:tc>
        <w:tc>
          <w:tcPr>
            <w:tcW w:w="2551" w:type="dxa"/>
            <w:vAlign w:val="center"/>
          </w:tcPr>
          <w:p>
            <w:pPr>
              <w:pStyle w:val="11"/>
            </w:pPr>
            <w:r>
              <w:t>337.64</w:t>
            </w:r>
          </w:p>
        </w:tc>
        <w:tc>
          <w:tcPr>
            <w:tcW w:w="2551" w:type="dxa"/>
            <w:vAlign w:val="center"/>
          </w:tcPr>
          <w:p>
            <w:pPr>
              <w:pStyle w:val="11"/>
              <w:rPr>
                <w:rFonts w:hint="default" w:eastAsia="方正书宋_GBK"/>
                <w:color w:val="0070C0"/>
                <w:lang w:val="en-US" w:eastAsia="zh-CN"/>
              </w:rPr>
            </w:pPr>
            <w:r>
              <w:rPr>
                <w:rFonts w:hint="eastAsia"/>
                <w:color w:val="0070C0"/>
                <w:lang w:val="en-US" w:eastAsia="zh-CN"/>
              </w:rPr>
              <w:t>402.99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337.64</w:t>
            </w:r>
          </w:p>
        </w:tc>
        <w:tc>
          <w:tcPr>
            <w:tcW w:w="2551" w:type="dxa"/>
            <w:vAlign w:val="center"/>
          </w:tcPr>
          <w:p>
            <w:pPr>
              <w:pStyle w:val="11"/>
            </w:pPr>
            <w:r>
              <w:t>337.64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22.07</w:t>
            </w:r>
          </w:p>
        </w:tc>
        <w:tc>
          <w:tcPr>
            <w:tcW w:w="2551" w:type="dxa"/>
            <w:vAlign w:val="center"/>
          </w:tcPr>
          <w:p>
            <w:pPr>
              <w:pStyle w:val="11"/>
            </w:pPr>
          </w:p>
        </w:tc>
        <w:tc>
          <w:tcPr>
            <w:tcW w:w="2551" w:type="dxa"/>
            <w:vAlign w:val="center"/>
          </w:tcPr>
          <w:p>
            <w:pPr>
              <w:pStyle w:val="11"/>
            </w:pPr>
            <w:r>
              <w:t>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75.00</w:t>
            </w:r>
          </w:p>
        </w:tc>
        <w:tc>
          <w:tcPr>
            <w:tcW w:w="2551" w:type="dxa"/>
            <w:vAlign w:val="center"/>
          </w:tcPr>
          <w:p>
            <w:pPr>
              <w:pStyle w:val="11"/>
            </w:pPr>
          </w:p>
        </w:tc>
        <w:tc>
          <w:tcPr>
            <w:tcW w:w="2551" w:type="dxa"/>
            <w:vAlign w:val="center"/>
          </w:tcPr>
          <w:p>
            <w:pPr>
              <w:pStyle w:val="11"/>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2240108</w:t>
            </w:r>
          </w:p>
        </w:tc>
        <w:tc>
          <w:tcPr>
            <w:tcW w:w="4535" w:type="dxa"/>
            <w:vAlign w:val="center"/>
          </w:tcPr>
          <w:p>
            <w:pPr>
              <w:pStyle w:val="12"/>
            </w:pPr>
            <w:r>
              <w:t>应急救援</w:t>
            </w:r>
          </w:p>
        </w:tc>
        <w:tc>
          <w:tcPr>
            <w:tcW w:w="2551" w:type="dxa"/>
            <w:vAlign w:val="center"/>
          </w:tcPr>
          <w:p>
            <w:pPr>
              <w:pStyle w:val="11"/>
              <w:rPr>
                <w:rFonts w:hint="default" w:eastAsia="方正书宋_GBK"/>
                <w:lang w:val="en-US" w:eastAsia="zh-CN"/>
              </w:rPr>
            </w:pPr>
            <w:r>
              <w:rPr>
                <w:rFonts w:hint="eastAsia"/>
                <w:color w:val="0070C0"/>
                <w:lang w:val="en-US" w:eastAsia="zh-CN"/>
              </w:rPr>
              <w:t>305.92</w:t>
            </w:r>
          </w:p>
        </w:tc>
        <w:tc>
          <w:tcPr>
            <w:tcW w:w="2551" w:type="dxa"/>
            <w:vAlign w:val="center"/>
          </w:tcPr>
          <w:p>
            <w:pPr>
              <w:pStyle w:val="11"/>
            </w:pPr>
          </w:p>
        </w:tc>
        <w:tc>
          <w:tcPr>
            <w:tcW w:w="2551" w:type="dxa"/>
            <w:vAlign w:val="center"/>
          </w:tcPr>
          <w:p>
            <w:pPr>
              <w:pStyle w:val="11"/>
              <w:rPr>
                <w:rFonts w:hint="default" w:eastAsia="方正书宋_GBK"/>
                <w:lang w:val="en-US" w:eastAsia="zh-CN"/>
              </w:rPr>
            </w:pPr>
            <w:r>
              <w:rPr>
                <w:rFonts w:hint="eastAsia"/>
                <w:color w:val="0070C0"/>
                <w:lang w:val="en-US" w:eastAsia="zh-CN"/>
              </w:rPr>
              <w:t>305.92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8.76</w:t>
            </w:r>
          </w:p>
        </w:tc>
        <w:tc>
          <w:tcPr>
            <w:tcW w:w="2551" w:type="dxa"/>
            <w:vAlign w:val="center"/>
          </w:tcPr>
          <w:p>
            <w:pPr>
              <w:pStyle w:val="11"/>
            </w:pPr>
          </w:p>
        </w:tc>
        <w:tc>
          <w:tcPr>
            <w:tcW w:w="2551" w:type="dxa"/>
            <w:vAlign w:val="center"/>
          </w:tcPr>
          <w:p>
            <w:pPr>
              <w:pStyle w:val="11"/>
            </w:pPr>
            <w:r>
              <w:t>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8.76</w:t>
            </w:r>
          </w:p>
        </w:tc>
        <w:tc>
          <w:tcPr>
            <w:tcW w:w="2551" w:type="dxa"/>
            <w:vAlign w:val="center"/>
          </w:tcPr>
          <w:p>
            <w:pPr>
              <w:pStyle w:val="11"/>
            </w:pPr>
          </w:p>
        </w:tc>
        <w:tc>
          <w:tcPr>
            <w:tcW w:w="2551" w:type="dxa"/>
            <w:vAlign w:val="center"/>
          </w:tcPr>
          <w:p>
            <w:pPr>
              <w:pStyle w:val="11"/>
            </w:pPr>
            <w:r>
              <w:t>8.76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430.33</w:t>
            </w:r>
          </w:p>
        </w:tc>
        <w:tc>
          <w:tcPr>
            <w:tcW w:w="2551" w:type="dxa"/>
            <w:vAlign w:val="center"/>
          </w:tcPr>
          <w:p>
            <w:pPr>
              <w:pStyle w:val="15"/>
            </w:pPr>
            <w:r>
              <w:t>400.72</w:t>
            </w:r>
          </w:p>
        </w:tc>
        <w:tc>
          <w:tcPr>
            <w:tcW w:w="2551" w:type="dxa"/>
            <w:vAlign w:val="center"/>
          </w:tcPr>
          <w:p>
            <w:pPr>
              <w:pStyle w:val="15"/>
            </w:pPr>
            <w:r>
              <w:t>29.61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383.49</w:t>
            </w:r>
          </w:p>
        </w:tc>
        <w:tc>
          <w:tcPr>
            <w:tcW w:w="2551" w:type="dxa"/>
            <w:vAlign w:val="center"/>
          </w:tcPr>
          <w:p>
            <w:pPr>
              <w:pStyle w:val="11"/>
            </w:pPr>
            <w:r>
              <w:t>383.49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225.36</w:t>
            </w:r>
          </w:p>
        </w:tc>
        <w:tc>
          <w:tcPr>
            <w:tcW w:w="2551" w:type="dxa"/>
            <w:vAlign w:val="center"/>
          </w:tcPr>
          <w:p>
            <w:pPr>
              <w:pStyle w:val="11"/>
            </w:pPr>
            <w:r>
              <w:t>225.36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46.64</w:t>
            </w:r>
          </w:p>
        </w:tc>
        <w:tc>
          <w:tcPr>
            <w:tcW w:w="2551" w:type="dxa"/>
            <w:vAlign w:val="center"/>
          </w:tcPr>
          <w:p>
            <w:pPr>
              <w:pStyle w:val="11"/>
            </w:pPr>
            <w:r>
              <w:t>46.64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36.04</w:t>
            </w:r>
          </w:p>
        </w:tc>
        <w:tc>
          <w:tcPr>
            <w:tcW w:w="2551" w:type="dxa"/>
            <w:vAlign w:val="center"/>
          </w:tcPr>
          <w:p>
            <w:pPr>
              <w:pStyle w:val="11"/>
            </w:pPr>
            <w:r>
              <w:t>36.04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19.81</w:t>
            </w:r>
          </w:p>
        </w:tc>
        <w:tc>
          <w:tcPr>
            <w:tcW w:w="2551" w:type="dxa"/>
            <w:vAlign w:val="center"/>
          </w:tcPr>
          <w:p>
            <w:pPr>
              <w:pStyle w:val="11"/>
            </w:pPr>
            <w:r>
              <w:t>19.81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21.91</w:t>
            </w:r>
          </w:p>
        </w:tc>
        <w:tc>
          <w:tcPr>
            <w:tcW w:w="2551" w:type="dxa"/>
            <w:vAlign w:val="center"/>
          </w:tcPr>
          <w:p>
            <w:pPr>
              <w:pStyle w:val="11"/>
            </w:pPr>
            <w:r>
              <w:t>21.91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7.62</w:t>
            </w:r>
          </w:p>
        </w:tc>
        <w:tc>
          <w:tcPr>
            <w:tcW w:w="2551" w:type="dxa"/>
            <w:vAlign w:val="center"/>
          </w:tcPr>
          <w:p>
            <w:pPr>
              <w:pStyle w:val="11"/>
            </w:pPr>
            <w:r>
              <w:t>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10.63</w:t>
            </w:r>
          </w:p>
        </w:tc>
        <w:tc>
          <w:tcPr>
            <w:tcW w:w="2551" w:type="dxa"/>
            <w:vAlign w:val="center"/>
          </w:tcPr>
          <w:p>
            <w:pPr>
              <w:pStyle w:val="11"/>
            </w:pPr>
            <w:r>
              <w:t>10.63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0.62</w:t>
            </w:r>
          </w:p>
        </w:tc>
        <w:tc>
          <w:tcPr>
            <w:tcW w:w="2551" w:type="dxa"/>
            <w:vAlign w:val="center"/>
          </w:tcPr>
          <w:p>
            <w:pPr>
              <w:pStyle w:val="11"/>
            </w:pPr>
            <w:r>
              <w:t>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14.86</w:t>
            </w:r>
          </w:p>
        </w:tc>
        <w:tc>
          <w:tcPr>
            <w:tcW w:w="2551" w:type="dxa"/>
            <w:vAlign w:val="center"/>
          </w:tcPr>
          <w:p>
            <w:pPr>
              <w:pStyle w:val="11"/>
            </w:pPr>
            <w:r>
              <w:t>14.86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29.61</w:t>
            </w:r>
          </w:p>
        </w:tc>
        <w:tc>
          <w:tcPr>
            <w:tcW w:w="2551" w:type="dxa"/>
            <w:vAlign w:val="center"/>
          </w:tcPr>
          <w:p>
            <w:pPr>
              <w:pStyle w:val="11"/>
            </w:pPr>
          </w:p>
        </w:tc>
        <w:tc>
          <w:tcPr>
            <w:tcW w:w="2551" w:type="dxa"/>
            <w:vAlign w:val="center"/>
          </w:tcPr>
          <w:p>
            <w:pPr>
              <w:pStyle w:val="11"/>
            </w:pPr>
            <w:r>
              <w:t>29.61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1.77</w:t>
            </w:r>
          </w:p>
        </w:tc>
        <w:tc>
          <w:tcPr>
            <w:tcW w:w="2551" w:type="dxa"/>
            <w:vAlign w:val="center"/>
          </w:tcPr>
          <w:p>
            <w:pPr>
              <w:pStyle w:val="11"/>
            </w:pPr>
          </w:p>
        </w:tc>
        <w:tc>
          <w:tcPr>
            <w:tcW w:w="2551" w:type="dxa"/>
            <w:vAlign w:val="center"/>
          </w:tcPr>
          <w:p>
            <w:pPr>
              <w:pStyle w:val="11"/>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1.19</w:t>
            </w:r>
          </w:p>
        </w:tc>
        <w:tc>
          <w:tcPr>
            <w:tcW w:w="2551" w:type="dxa"/>
            <w:vAlign w:val="center"/>
          </w:tcPr>
          <w:p>
            <w:pPr>
              <w:pStyle w:val="11"/>
            </w:pPr>
          </w:p>
        </w:tc>
        <w:tc>
          <w:tcPr>
            <w:tcW w:w="2551" w:type="dxa"/>
            <w:vAlign w:val="center"/>
          </w:tcPr>
          <w:p>
            <w:pPr>
              <w:pStyle w:val="11"/>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17.23</w:t>
            </w:r>
          </w:p>
        </w:tc>
        <w:tc>
          <w:tcPr>
            <w:tcW w:w="2551" w:type="dxa"/>
            <w:vAlign w:val="center"/>
          </w:tcPr>
          <w:p>
            <w:pPr>
              <w:pStyle w:val="11"/>
            </w:pPr>
            <w:r>
              <w:t>17.23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17.15</w:t>
            </w:r>
          </w:p>
        </w:tc>
        <w:tc>
          <w:tcPr>
            <w:tcW w:w="2551" w:type="dxa"/>
            <w:vAlign w:val="center"/>
          </w:tcPr>
          <w:p>
            <w:pPr>
              <w:pStyle w:val="11"/>
            </w:pPr>
            <w:r>
              <w:t>17.15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7.82</w:t>
            </w:r>
          </w:p>
        </w:tc>
        <w:tc>
          <w:tcPr>
            <w:tcW w:w="2381" w:type="dxa"/>
            <w:vAlign w:val="center"/>
          </w:tcPr>
          <w:p>
            <w:pPr>
              <w:pStyle w:val="15"/>
            </w:pPr>
            <w:r>
              <w:t>7.82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6.49</w:t>
            </w:r>
          </w:p>
        </w:tc>
        <w:tc>
          <w:tcPr>
            <w:tcW w:w="2381" w:type="dxa"/>
            <w:vAlign w:val="center"/>
          </w:tcPr>
          <w:p>
            <w:pPr>
              <w:pStyle w:val="11"/>
            </w:pPr>
            <w:r>
              <w:t>6.49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6.24</w:t>
            </w:r>
          </w:p>
        </w:tc>
        <w:tc>
          <w:tcPr>
            <w:tcW w:w="2381" w:type="dxa"/>
            <w:vAlign w:val="center"/>
          </w:tcPr>
          <w:p>
            <w:pPr>
              <w:pStyle w:val="11"/>
            </w:pPr>
            <w:r>
              <w:t>6.24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6.24</w:t>
            </w:r>
          </w:p>
        </w:tc>
        <w:tc>
          <w:tcPr>
            <w:tcW w:w="2381" w:type="dxa"/>
            <w:vAlign w:val="center"/>
          </w:tcPr>
          <w:p>
            <w:pPr>
              <w:pStyle w:val="11"/>
            </w:pPr>
            <w:r>
              <w:t>6.24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0.25</w:t>
            </w:r>
          </w:p>
        </w:tc>
        <w:tc>
          <w:tcPr>
            <w:tcW w:w="2381" w:type="dxa"/>
            <w:vAlign w:val="center"/>
          </w:tcPr>
          <w:p>
            <w:pPr>
              <w:pStyle w:val="11"/>
            </w:pPr>
            <w:r>
              <w:t>0.25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秦皇岛经济技术开发区工信和应急管理局(本级)2024年单位预算信息公开情况说明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按照《中华人民共和国预算法》、《地方预决算公开操作规程》和《关于进一步推进预算公开工作的实施意见》规定，现将秦皇岛经济技术开发区工信和应急管理局(本级)2024年单位预算公开如下：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1.负责全区安全生产培训工作，负责组织指导执法计划编制、执法队伍建设、执法规范化建设、执法统计分析和考核通报等工作。</w:t>
      </w:r>
    </w:p>
    <w:p>
      <w:pPr>
        <w:pStyle w:val="17"/>
      </w:pPr>
      <w:r>
        <w:t>2.负责地质灾害、水旱灾害、森林火灾等有关应急抢险和灾害救助、防震减灾等方面的行政执法工作。</w:t>
      </w:r>
    </w:p>
    <w:p>
      <w:pPr>
        <w:pStyle w:val="17"/>
      </w:pPr>
      <w:r>
        <w:t>3.负责执法监督综合性工作,指导应急管理系统法治建设,组织开展普法活动,承担规范性文件和行政执法案卷的合法性审查和行政复议、行政应诉等工作。</w:t>
      </w:r>
    </w:p>
    <w:p>
      <w:pPr>
        <w:pStyle w:val="17"/>
      </w:pPr>
      <w:r>
        <w:t>4.承担应急管理、安全生产的科技和信息化建设工作,规划信息传输渠道,健全自然灾害信息资源获取和共享机制,拟订有关科技规划、计划并组织实施。</w:t>
      </w:r>
    </w:p>
    <w:p>
      <w:pPr>
        <w:pStyle w:val="17"/>
      </w:pPr>
      <w:r>
        <w:t>5.依法依规指导协调和监督有专门安全生产主管部门的行业和领域安全生产监督管理工作，组织协调全区性安全生产检查以及专项督查、专项整治等工作，承办区安全生产委员会办公室日常工作，承担安全生产考核的组织实施工作。依法承担生产安全事故调查处理工作，监督事故查处和责任追究情况，组织开展自然灾害类突发事件的调查评估工作，负责应急管理统计分析工作。</w:t>
      </w:r>
    </w:p>
    <w:p>
      <w:pPr>
        <w:pStyle w:val="17"/>
      </w:pPr>
      <w:r>
        <w:t>6.指导开展防火巡护、火源管理、防火设施建设等工作；负责森林火情监测预警工作，负责发布森林火险、火灾信息；负责森林火灾扑救和森林火灾扑救队伍建设。</w:t>
      </w:r>
    </w:p>
    <w:p>
      <w:pPr>
        <w:pStyle w:val="17"/>
      </w:pPr>
      <w:r>
        <w:t>7.负责协调调度森林扑火队伍参与社会应急救援；负责协调调度重大森林火灾救援物资和救援力量。</w:t>
      </w:r>
    </w:p>
    <w:p>
      <w:pPr>
        <w:pStyle w:val="17"/>
      </w:pPr>
      <w:r>
        <w:t>8.监督消防政府规章和技术标准实施，指导城镇、农村消防工作规划编制并推进落实，指导消防监督、火灾预防、火灾扑救工作。</w:t>
      </w:r>
    </w:p>
    <w:p>
      <w:pPr>
        <w:pStyle w:val="17"/>
      </w:pPr>
      <w:r>
        <w:t>9.组织协调水旱灾害应急救援工作，协调指导重要水工程实施防御洪水抗御旱灾调度和应急水量调度工作，组织协调台风防御工作。</w:t>
      </w:r>
    </w:p>
    <w:p>
      <w:pPr>
        <w:pStyle w:val="17"/>
      </w:pPr>
      <w:r>
        <w:t>10.组织协调地震应急救援工作，推动避难设施建设，指导协调地质灾害防治相关工作，组织重大地质灾害应急救援。</w:t>
      </w:r>
    </w:p>
    <w:p>
      <w:pPr>
        <w:pStyle w:val="17"/>
      </w:pPr>
      <w:r>
        <w:t>11.负责全区地震群测群防“三网一员”（宏观异常观测网、地震灾情速报网、防震减灾科普知识宣传网、防震减灾助理员）的建设和管理工作。</w:t>
      </w:r>
    </w:p>
    <w:p>
      <w:pPr>
        <w:pStyle w:val="17"/>
      </w:pPr>
      <w:r>
        <w:t>12.负责防震减灾宣传教育及防震减灾示范学校和社区创建工作；负责会同有关部门拟订全区防震减灾规划，参与制定地震灾区重建规划；负责防震减灾志愿者队伍建设和管理工作；负责乡街政府防震减灾工作指导和检查工作；负责地震系统内部上下级沟通、工作信息汇总反馈等综合业务；负责地震宏观异常信息收集汇总，协助震后地震现场考察、震情灾情信息收集和指导灾区震后工作。</w:t>
      </w:r>
    </w:p>
    <w:p>
      <w:pPr>
        <w:pStyle w:val="17"/>
      </w:pPr>
      <w:r>
        <w:t>13.负责地震监测和震情信息发布工作；负责地震监测预报系统和地震信息网络系统的建设管理和维护工作；负责地震综合分析预报，有感地震震后趋势判定，震情短临跟踪工作；负责宏观观测资料整理和分析，地震异常落实和判定工作；协助震后地震现场考察、震情灾情信息收集和指导灾区震后工作。</w:t>
      </w:r>
    </w:p>
    <w:p>
      <w:pPr>
        <w:pStyle w:val="17"/>
      </w:pPr>
      <w:r>
        <w:t>14.承担应急值守、政务值班等工作，拟订事故灾难和自然灾害分级应对制度，发布预警和灾情信息，衔接解放军和武警部队参与应急救援工作。</w:t>
      </w:r>
    </w:p>
    <w:p>
      <w:pPr>
        <w:pStyle w:val="17"/>
      </w:pPr>
      <w:r>
        <w:t>15.统筹应急预案体系建设，组织编制全区总体应急预案和安全生产类、自然灾害类专项预案，综合协调各类应急预案衔接工作，承担预案演练的组织实施和指导监督工作，承担全区应对重大灾害指挥部的现场协调保障工作，统筹应急救援力量建设，指导各级及社会应急救援力量建设，组织指导应急管理社会动员工作。</w:t>
      </w:r>
    </w:p>
    <w:p>
      <w:pPr>
        <w:pStyle w:val="17"/>
      </w:pPr>
      <w:r>
        <w:t>16.建立重大安全生产风险监测预警和评估论证机制，承担自然灾害综合监测预警工作，拟订自然灾害风险管理制度，组织开展自然灾害综合风险与减灾能力调查评估。承担灾情核查、损失评估、救灾捐赠等灾害救助工作，拟订应急物资储备规划和需求计划，组织建立应急物资共用共享和协调机制，组织协调重要应急物资的储备、调拨和紧急配送，承担区级救灾款物的管理、分配和监督使用工作，会同有关方面组织协调紧急转移安置受灾群众、因灾毁损房屋恢复重建补助和受灾群众生活救助。</w:t>
      </w:r>
    </w:p>
    <w:p>
      <w:pPr>
        <w:pStyle w:val="17"/>
      </w:pPr>
      <w:r>
        <w:t>17.负责需要国家、省、市、区核准、备案的工业企业技术改造投资项目申报工作。落实各级工业产业政策，提出推进产业结构调整、产业聚集、工业与相关产业融合发展及管理创新的政策建议。配合有关部门开展对外经济交流与合作、技术引进有关工作。承担上级制造强市建设领导小组办公室和工业转型升级领导小组办公室日常工作。</w:t>
      </w:r>
    </w:p>
    <w:p>
      <w:pPr>
        <w:pStyle w:val="17"/>
      </w:pPr>
      <w:r>
        <w:t>18.负责监测分析工业企业日常运行，分析全区工业运行态势和国内外工业形势，协调解决企业运行发展中的有关问题。</w:t>
      </w:r>
    </w:p>
    <w:p>
      <w:pPr>
        <w:pStyle w:val="17"/>
      </w:pPr>
      <w:r>
        <w:t>19.鼓励和支持各类服务机构为中小企业提供管理咨询、人才培训、技术支持、投资融资、法律咨询等各类服务。支持中小企业创业创新，推进中小企业“专精特新”发展。承担上级民营经济领导小组办公室的日常工作。</w:t>
      </w:r>
    </w:p>
    <w:p>
      <w:pPr>
        <w:pStyle w:val="17"/>
      </w:pPr>
      <w:r>
        <w:t>20.配合有关部门推进实施有关国家和省、市科技重大专项，推动技术创新和产学研相结合。协调指导生产性服务业发展。承担促进全区工业设计发展相关工作。组织和指导企业节能管理。指导推进工业绿色发展和绿色制造工作。</w:t>
      </w:r>
    </w:p>
    <w:p>
      <w:pPr>
        <w:pStyle w:val="17"/>
      </w:pPr>
      <w:r>
        <w:t>21.负责组织申报国家、省装备工业相关专项。组织实施首台（套）重大技术装备应用工作。配合上级组织实施原材料工业发展战略、规划。承担上级新能源汽车发展和推广应用领导小组办公室、焦化产业结构调整领导小组办公室和淘汰落后产能工作领导小组办公室日常工作。</w:t>
      </w:r>
    </w:p>
    <w:p>
      <w:pPr>
        <w:pStyle w:val="17"/>
      </w:pPr>
      <w:r>
        <w:t>22.负责全区军民融合工作的协调，负责区军民融合发展委员会各项决定和工作部署的督办落实，督促区军民融合发展委员会各成员单位履行职责。</w:t>
      </w:r>
    </w:p>
    <w:p>
      <w:pPr>
        <w:pStyle w:val="17"/>
      </w:pPr>
      <w:r>
        <w:t>23.指导电子信息产业和软件产业发展。组织实施信息技术服务、系统集成及服务的技术规范和标准。统筹推进全区工业领域信息化发展。指导推进工业领域数字化、网络化、智能化。统筹指导工业领域信息安全。指导做好重要工业领域工控系统信息安全保障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秦皇岛经济技术开发区工信和应急管理局(本级)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w:t>
      </w:r>
      <w:r>
        <w:rPr>
          <w:rFonts w:hint="eastAsia"/>
          <w:color w:val="0070C0"/>
          <w:lang w:val="en-US" w:eastAsia="zh-CN"/>
        </w:rPr>
        <w:t>1129.08</w:t>
      </w:r>
      <w:r>
        <w:t>万元，其中：一般公共预算收入</w:t>
      </w:r>
      <w:r>
        <w:rPr>
          <w:rFonts w:hint="eastAsia"/>
          <w:color w:val="0070C0"/>
          <w:lang w:val="en-US" w:eastAsia="zh-CN"/>
        </w:rPr>
        <w:t>1129.08</w:t>
      </w:r>
      <w:r>
        <w:t>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收支预算总表支出栏、基本支出表、项目支出表按经济分类和支出功能分类科目编制，反映秦皇岛经济技术开发区工信和应急管理局(本级)年度单位预算中支出预算的总体情况。2024年支出预算</w:t>
      </w:r>
      <w:r>
        <w:rPr>
          <w:rFonts w:hint="eastAsia"/>
          <w:color w:val="0070C0"/>
          <w:lang w:val="en-US" w:eastAsia="zh-CN"/>
        </w:rPr>
        <w:t>1129.08</w:t>
      </w:r>
      <w:r>
        <w:t>万元，其中基本支出430.33万元，包括人员经费400.72万元和日常公用经费29.61万元；项目支出</w:t>
      </w:r>
      <w:r>
        <w:rPr>
          <w:rFonts w:hint="eastAsia"/>
          <w:color w:val="0070C0"/>
          <w:lang w:val="en-US" w:eastAsia="zh-CN"/>
        </w:rPr>
        <w:t>698.75</w:t>
      </w:r>
      <w:r>
        <w:t>万元，主要为政策性农房保险补助资金2.92万，自然灾害生活救助资金1万，应急救援能力建设费用9万，森林消防防灭火工作经费145万，应急救灾物资储备10万，林火视频监控系统服务经费29万，应急管理工作保障经费25万，作业场所视频监控系统建设经费50万，安全生产突出贡献奖励、隐患举报奖励1万，安全生产专项业务费10万，视频会议系统1万，应急管理系统综合执法制式服装和标志费用8.07万，信息化平台维护费用2万，秦财建〔2023〕724号关于提前下达2024年自然灾害救助专项资金8.76万，秦财企[2023]820号 关于提前下达2024年县域特色产业群“领跑者”企业培训等项目资金预算通知287万，秦皇岛市财政局关于下达增发2023年国债自然灾害应急能力提升工程（应急领域）省级补助资金预算的通知 秦财建[2024]59号7.267万，秦皇岛市财政局关于下达增发2023年国债自然灾害应急能力提升工程（应急领域）补助资金预算的通知 秦财建[2024]60号87.2万，河北省自然灾害应急能力提升工程预警指挥国债项目区级配套14.533万。</w:t>
      </w:r>
    </w:p>
    <w:p>
      <w:pPr>
        <w:pStyle w:val="18"/>
      </w:pPr>
      <w:r>
        <w:t>3、比上年增减情况</w:t>
      </w:r>
    </w:p>
    <w:p>
      <w:pPr>
        <w:pStyle w:val="18"/>
      </w:pPr>
      <w:r>
        <w:t>2024年预算收支安排</w:t>
      </w:r>
      <w:r>
        <w:rPr>
          <w:rFonts w:hint="eastAsia"/>
          <w:color w:val="0070C0"/>
          <w:lang w:val="en-US" w:eastAsia="zh-CN"/>
        </w:rPr>
        <w:t>1129.08</w:t>
      </w:r>
      <w:r>
        <w:t>万元，较2023年预算增加</w:t>
      </w:r>
      <w:r>
        <w:rPr>
          <w:rFonts w:hint="eastAsia"/>
          <w:color w:val="0070C0"/>
          <w:lang w:val="en-US" w:eastAsia="zh-CN"/>
        </w:rPr>
        <w:t>245.64</w:t>
      </w:r>
      <w:r>
        <w:t>万元，其中：基本支出增加0.09万元，主要为2024年人员有增减变动，造成人员经费和日常公用经费有变动。项目支出增加</w:t>
      </w:r>
      <w:bookmarkStart w:id="2" w:name="_GoBack"/>
      <w:r>
        <w:rPr>
          <w:rFonts w:hint="eastAsia"/>
          <w:color w:val="0070C0"/>
          <w:lang w:val="en-US" w:eastAsia="zh-CN"/>
        </w:rPr>
        <w:t>245.55</w:t>
      </w:r>
      <w:bookmarkEnd w:id="2"/>
      <w:r>
        <w:t>万元，主要为2024年增加了林火视频监控系统服务经费、应急管理系统综合执法制式服装和标志费用和秦财企[2023]820号 关于提前下达2024年县域特色产业群“领跑者”企业培训等项目资金预算通知。秦皇岛市财政局关于下达增发2023年国债自然灾害应急能力提升工程（应急领域）省级补助资金预算的通知 秦财建[2024]59号，秦皇岛市财政局关于下达增发2023年国债自然灾害应急能力提升工程（应急领域）补助资金预算的通知 秦财建[2024]60号，河北省自然灾害应急能力提升工程预警指挥国债项目区级配套。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2024年，我单位机关运行经费共计安排29.61万元，主要用于日常维修、办公用房水电费、办公用房取暖费、办公用房物业管理费等日常运行支出。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2024年，我单位财政拨款“三公”经费预算安排6.49万元，其中因公出国（境）费0.00万元；公务用车购置及运维费6.24万元（其中：公务用车购置费为0.00万元，公务用车运维费6.24万元)；公务接待费0.25万元。</w:t>
      </w:r>
      <w:r>
        <w:rPr>
          <w:b w:val="0"/>
          <w:bCs w:val="0"/>
          <w:color w:val="auto"/>
        </w:rPr>
        <w:t>与2023年相比</w:t>
      </w:r>
      <w:r>
        <w:rPr>
          <w:rFonts w:hint="eastAsia"/>
          <w:b w:val="0"/>
          <w:bCs w:val="0"/>
          <w:color w:val="auto"/>
          <w:lang w:eastAsia="zh-CN"/>
        </w:rPr>
        <w:t>减少</w:t>
      </w:r>
      <w:r>
        <w:rPr>
          <w:rFonts w:hint="eastAsia"/>
          <w:b w:val="0"/>
          <w:bCs w:val="0"/>
          <w:color w:val="auto"/>
          <w:lang w:val="en-US" w:eastAsia="zh-CN"/>
        </w:rPr>
        <w:t>0.14</w:t>
      </w:r>
      <w:r>
        <w:rPr>
          <w:b w:val="0"/>
          <w:bCs w:val="0"/>
          <w:color w:val="auto"/>
        </w:rPr>
        <w:t>万元</w:t>
      </w:r>
      <w:r>
        <w:rPr>
          <w:color w:val="0000FF"/>
        </w:rPr>
        <w:t>，</w:t>
      </w:r>
      <w:r>
        <w:t>增减变化的主要原因是与2023年相比，三公经费减少了0.14万元，为公务用车运行维护费减少了0.1万元，增减原因为：公车运行维护和耗用减少。公务接待费减少了0.04万元，增减原因为：公务接待减少。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1、安全生产突出贡献奖励、隐患举报奖励绩效目标表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13031124P004687121107</w:t>
            </w:r>
          </w:p>
        </w:tc>
        <w:tc>
          <w:tcPr>
            <w:tcW w:w="2835" w:type="dxa"/>
            <w:vAlign w:val="center"/>
          </w:tcPr>
          <w:p>
            <w:pPr>
              <w:pStyle w:val="10"/>
            </w:pPr>
            <w:r>
              <w:t>项目名称</w:t>
            </w:r>
          </w:p>
        </w:tc>
        <w:tc>
          <w:tcPr>
            <w:tcW w:w="6094" w:type="dxa"/>
            <w:gridSpan w:val="3"/>
            <w:vAlign w:val="center"/>
          </w:tcPr>
          <w:p>
            <w:pPr>
              <w:pStyle w:val="12"/>
            </w:pPr>
            <w:r>
              <w:t>安全生产突出贡献奖励、隐患举报奖励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按照《河北省安全生产领域举报奖励办法》相关标准，为举报人发放安全生产突出贡献奖励、隐患举报奖励。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1.举报有效事件结案率达到90%以上。</w:t>
            </w:r>
          </w:p>
          <w:p>
            <w:pPr>
              <w:pStyle w:val="12"/>
            </w:pPr>
            <w:r>
              <w:t>2.奖励金发放到位率达到90%以上。</w:t>
            </w:r>
          </w:p>
          <w:p>
            <w:pPr>
              <w:pStyle w:val="12"/>
            </w:pPr>
          </w:p>
          <w:p>
            <w:pPr>
              <w:pStyle w:val="12"/>
            </w:pPr>
            <w:r>
              <w:t>3.鼓励广大职工群众举报安全生产事故隐患、非法违法行为和瞒报、谎报事故，加强安全生产工作的社会监督。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举报有效事件结案率</w:t>
            </w:r>
          </w:p>
          <w:p>
            <w:pPr>
              <w:pStyle w:val="12"/>
            </w:pPr>
          </w:p>
        </w:tc>
        <w:tc>
          <w:tcPr>
            <w:tcW w:w="5386" w:type="dxa"/>
            <w:vAlign w:val="center"/>
          </w:tcPr>
          <w:p>
            <w:pPr>
              <w:pStyle w:val="12"/>
            </w:pPr>
            <w:r>
              <w:t>有效举办结案数量/有效举报总数量*100%</w:t>
            </w:r>
          </w:p>
          <w:p>
            <w:pPr>
              <w:pStyle w:val="12"/>
            </w:pPr>
          </w:p>
        </w:tc>
        <w:tc>
          <w:tcPr>
            <w:tcW w:w="2268" w:type="dxa"/>
            <w:vAlign w:val="center"/>
          </w:tcPr>
          <w:p>
            <w:pPr>
              <w:pStyle w:val="12"/>
            </w:pPr>
            <w:r>
              <w:t>≥90%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奖励金发放到位率</w:t>
            </w:r>
          </w:p>
          <w:p>
            <w:pPr>
              <w:pStyle w:val="12"/>
            </w:pPr>
          </w:p>
        </w:tc>
        <w:tc>
          <w:tcPr>
            <w:tcW w:w="5386" w:type="dxa"/>
            <w:vAlign w:val="center"/>
          </w:tcPr>
          <w:p>
            <w:pPr>
              <w:pStyle w:val="12"/>
            </w:pPr>
            <w:r>
              <w:t>实际发放人数/应发放人数*100%</w:t>
            </w:r>
          </w:p>
          <w:p>
            <w:pPr>
              <w:pStyle w:val="12"/>
            </w:pPr>
          </w:p>
        </w:tc>
        <w:tc>
          <w:tcPr>
            <w:tcW w:w="2268" w:type="dxa"/>
            <w:vAlign w:val="center"/>
          </w:tcPr>
          <w:p>
            <w:pPr>
              <w:pStyle w:val="12"/>
            </w:pPr>
            <w:r>
              <w:t>≥90%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安全生产突出贡献、隐患举报响应时效</w:t>
            </w:r>
          </w:p>
          <w:p>
            <w:pPr>
              <w:pStyle w:val="12"/>
            </w:pPr>
          </w:p>
        </w:tc>
        <w:tc>
          <w:tcPr>
            <w:tcW w:w="5386" w:type="dxa"/>
            <w:vAlign w:val="center"/>
          </w:tcPr>
          <w:p>
            <w:pPr>
              <w:pStyle w:val="12"/>
            </w:pPr>
            <w:r>
              <w:t>回复举报人时限为10个工作日</w:t>
            </w:r>
          </w:p>
          <w:p>
            <w:pPr>
              <w:pStyle w:val="12"/>
            </w:pPr>
          </w:p>
        </w:tc>
        <w:tc>
          <w:tcPr>
            <w:tcW w:w="2268" w:type="dxa"/>
            <w:vAlign w:val="center"/>
          </w:tcPr>
          <w:p>
            <w:pPr>
              <w:pStyle w:val="12"/>
            </w:pPr>
            <w:r>
              <w:t>≤10工作日</w:t>
            </w:r>
          </w:p>
        </w:tc>
        <w:tc>
          <w:tcPr>
            <w:tcW w:w="1276" w:type="dxa"/>
            <w:vAlign w:val="center"/>
          </w:tcPr>
          <w:p>
            <w:pPr>
              <w:pStyle w:val="12"/>
            </w:pPr>
            <w:r>
              <w:t xml:space="preserve"> 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安全生产突出贡献、隐患举报响应时效</w:t>
            </w:r>
          </w:p>
          <w:p>
            <w:pPr>
              <w:pStyle w:val="12"/>
            </w:pPr>
          </w:p>
        </w:tc>
        <w:tc>
          <w:tcPr>
            <w:tcW w:w="5386" w:type="dxa"/>
            <w:vAlign w:val="center"/>
          </w:tcPr>
          <w:p>
            <w:pPr>
              <w:pStyle w:val="12"/>
            </w:pPr>
            <w:r>
              <w:t>核查时限为60工日</w:t>
            </w:r>
          </w:p>
          <w:p>
            <w:pPr>
              <w:pStyle w:val="12"/>
            </w:pPr>
          </w:p>
        </w:tc>
        <w:tc>
          <w:tcPr>
            <w:tcW w:w="2268" w:type="dxa"/>
            <w:vAlign w:val="center"/>
          </w:tcPr>
          <w:p>
            <w:pPr>
              <w:pStyle w:val="12"/>
            </w:pPr>
            <w:r>
              <w:t>≤60工作日</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安全生产突出贡献奖励、隐患举报奖励</w:t>
            </w:r>
          </w:p>
          <w:p>
            <w:pPr>
              <w:pStyle w:val="12"/>
            </w:pPr>
          </w:p>
        </w:tc>
        <w:tc>
          <w:tcPr>
            <w:tcW w:w="5386" w:type="dxa"/>
            <w:vAlign w:val="center"/>
          </w:tcPr>
          <w:p>
            <w:pPr>
              <w:pStyle w:val="12"/>
            </w:pPr>
            <w:r>
              <w:t>安全生产突出贡献奖励、隐患举报奖励</w:t>
            </w:r>
          </w:p>
          <w:p>
            <w:pPr>
              <w:pStyle w:val="12"/>
            </w:pPr>
          </w:p>
        </w:tc>
        <w:tc>
          <w:tcPr>
            <w:tcW w:w="2268" w:type="dxa"/>
            <w:vAlign w:val="center"/>
          </w:tcPr>
          <w:p>
            <w:pPr>
              <w:pStyle w:val="12"/>
            </w:pPr>
            <w:r>
              <w:t>≤1万元</w:t>
            </w:r>
          </w:p>
        </w:tc>
        <w:tc>
          <w:tcPr>
            <w:tcW w:w="1276" w:type="dxa"/>
            <w:vAlign w:val="center"/>
          </w:tcPr>
          <w:p>
            <w:pPr>
              <w:pStyle w:val="12"/>
            </w:pPr>
            <w:r>
              <w:t>河北省安全生产领域举报奖励办法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加强安全生产工作的社会监督，鼓励广大职工群众举报安全生产事故隐患、非法违法行为和瞒报、谎报事故，及时发现并排除事故隐患，制止和惩处非法违法行为</w:t>
            </w:r>
          </w:p>
          <w:p>
            <w:pPr>
              <w:pStyle w:val="12"/>
            </w:pPr>
          </w:p>
        </w:tc>
        <w:tc>
          <w:tcPr>
            <w:tcW w:w="5386" w:type="dxa"/>
            <w:vAlign w:val="center"/>
          </w:tcPr>
          <w:p>
            <w:pPr>
              <w:pStyle w:val="12"/>
            </w:pPr>
            <w:r>
              <w:t>加强安全生产工作的社会监督，鼓励广大职工群众举报安全生产事故隐患、非法违法行为和瞒报、谎报事故，及时发现并排除事故隐患，制止和惩处非法违法行为</w:t>
            </w:r>
          </w:p>
          <w:p>
            <w:pPr>
              <w:pStyle w:val="12"/>
            </w:pPr>
          </w:p>
        </w:tc>
        <w:tc>
          <w:tcPr>
            <w:tcW w:w="2268" w:type="dxa"/>
            <w:vAlign w:val="center"/>
          </w:tcPr>
          <w:p>
            <w:pPr>
              <w:pStyle w:val="12"/>
            </w:pPr>
            <w:r>
              <w:t>较上年提升</w:t>
            </w:r>
          </w:p>
        </w:tc>
        <w:tc>
          <w:tcPr>
            <w:tcW w:w="1276" w:type="dxa"/>
            <w:vAlign w:val="center"/>
          </w:tcPr>
          <w:p>
            <w:pPr>
              <w:pStyle w:val="12"/>
            </w:pPr>
            <w:r>
              <w:t>实际完成情况</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举报人对举报结果满意</w:t>
            </w:r>
          </w:p>
          <w:p>
            <w:pPr>
              <w:pStyle w:val="12"/>
            </w:pPr>
          </w:p>
        </w:tc>
        <w:tc>
          <w:tcPr>
            <w:tcW w:w="5386" w:type="dxa"/>
            <w:vAlign w:val="center"/>
          </w:tcPr>
          <w:p>
            <w:pPr>
              <w:pStyle w:val="12"/>
            </w:pPr>
            <w:r>
              <w:t>举报人对举报结果满意情况</w:t>
            </w:r>
          </w:p>
          <w:p>
            <w:pPr>
              <w:pStyle w:val="12"/>
            </w:pPr>
          </w:p>
        </w:tc>
        <w:tc>
          <w:tcPr>
            <w:tcW w:w="2268" w:type="dxa"/>
            <w:vAlign w:val="center"/>
          </w:tcPr>
          <w:p>
            <w:pPr>
              <w:pStyle w:val="12"/>
            </w:pPr>
            <w:r>
              <w:t>≥90%</w:t>
            </w:r>
          </w:p>
        </w:tc>
        <w:tc>
          <w:tcPr>
            <w:tcW w:w="1276" w:type="dxa"/>
            <w:vAlign w:val="center"/>
          </w:tcPr>
          <w:p>
            <w:pPr>
              <w:pStyle w:val="12"/>
            </w:pPr>
            <w:r>
              <w:t>实际完成情况</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13031124P004687121088</w:t>
            </w:r>
          </w:p>
        </w:tc>
        <w:tc>
          <w:tcPr>
            <w:tcW w:w="2835" w:type="dxa"/>
            <w:vAlign w:val="center"/>
          </w:tcPr>
          <w:p>
            <w:pPr>
              <w:pStyle w:val="10"/>
            </w:pPr>
            <w:r>
              <w:t>项目名称</w:t>
            </w:r>
          </w:p>
        </w:tc>
        <w:tc>
          <w:tcPr>
            <w:tcW w:w="6094" w:type="dxa"/>
            <w:gridSpan w:val="3"/>
            <w:vAlign w:val="center"/>
          </w:tcPr>
          <w:p>
            <w:pPr>
              <w:pStyle w:val="12"/>
            </w:pPr>
            <w:r>
              <w:t>安全生产专项业务费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1.印制安全生产宣传手册、法规汇编、执法手册、文件、资料，拟列预算，0.7万元。</w:t>
            </w:r>
          </w:p>
          <w:p>
            <w:pPr>
              <w:pStyle w:val="12"/>
            </w:pPr>
            <w:r>
              <w:t>2.为了弘扬安全文化，增强全社会安全生产、应急救援、减灾救灾意识，需开展相关宣传工作。开展安全生产月、防灾减灾日、地震宣传日宣传等活动，0.8万元。</w:t>
            </w:r>
          </w:p>
          <w:p>
            <w:pPr>
              <w:pStyle w:val="12"/>
            </w:pPr>
            <w:r>
              <w:t>3.为提高安全生产监管能力，借鉴其他地方先进安全生产管理经验，需为工管委领导、应急局、安委会成员单位、办事处和渤海乡订阅《中国安全生产报》、《河北安全生产》杂志，购买其它安全生产知识书籍和执法文书，0.4万元。</w:t>
            </w:r>
          </w:p>
          <w:p>
            <w:pPr>
              <w:pStyle w:val="12"/>
            </w:pPr>
            <w:r>
              <w:t>4.为保障应急值守，值班室床上用品的换洗费用，共计0.6万元。</w:t>
            </w:r>
          </w:p>
          <w:p>
            <w:pPr>
              <w:pStyle w:val="12"/>
            </w:pPr>
            <w:r>
              <w:t>5.委托技术服务机构对企业进行社会化服务；开展常规性技术支持，聘请专家进行安全检查、安全生产事故技术鉴定组织对拟落户开发区的新项目安全预评价报告组织专家进行评审等共计7.5万元。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1.聘请专家参与安全生产执法监督检查对辖区内150家次企业进行督导检查，促进检查效率和检查质量显著提高。</w:t>
            </w:r>
          </w:p>
          <w:p>
            <w:pPr>
              <w:pStyle w:val="12"/>
            </w:pPr>
            <w:r>
              <w:t>2.检查工作于2024年12月31日全部完成。隐患及问题整改率达到100%。</w:t>
            </w:r>
          </w:p>
          <w:p>
            <w:pPr>
              <w:pStyle w:val="12"/>
            </w:pPr>
            <w:r>
              <w:t>3.工作人员监管安全生产工作的责任认识和监管能力、企业安全意识得到显著提升，促进企业安全生产隐患动态清零总目标的达成，使人民群众生命财产安全得到根本保障。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检查企业数量</w:t>
            </w:r>
          </w:p>
        </w:tc>
        <w:tc>
          <w:tcPr>
            <w:tcW w:w="5386" w:type="dxa"/>
            <w:vAlign w:val="center"/>
          </w:tcPr>
          <w:p>
            <w:pPr>
              <w:pStyle w:val="12"/>
            </w:pPr>
            <w:r>
              <w:t>聘请专家检查企业数量</w:t>
            </w:r>
          </w:p>
          <w:p>
            <w:pPr>
              <w:pStyle w:val="12"/>
            </w:pPr>
          </w:p>
        </w:tc>
        <w:tc>
          <w:tcPr>
            <w:tcW w:w="2268" w:type="dxa"/>
            <w:vAlign w:val="center"/>
          </w:tcPr>
          <w:p>
            <w:pPr>
              <w:pStyle w:val="12"/>
            </w:pPr>
            <w:r>
              <w:t>≥150家次</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完成工作项数</w:t>
            </w:r>
          </w:p>
          <w:p>
            <w:pPr>
              <w:pStyle w:val="12"/>
            </w:pPr>
          </w:p>
        </w:tc>
        <w:tc>
          <w:tcPr>
            <w:tcW w:w="5386" w:type="dxa"/>
            <w:vAlign w:val="center"/>
          </w:tcPr>
          <w:p>
            <w:pPr>
              <w:pStyle w:val="12"/>
            </w:pPr>
            <w:r>
              <w:t>该指标考核各项工作是否正常开展，即实际完成的工作数量</w:t>
            </w:r>
          </w:p>
          <w:p>
            <w:pPr>
              <w:pStyle w:val="12"/>
            </w:pPr>
          </w:p>
        </w:tc>
        <w:tc>
          <w:tcPr>
            <w:tcW w:w="2268" w:type="dxa"/>
            <w:vAlign w:val="center"/>
          </w:tcPr>
          <w:p>
            <w:pPr>
              <w:pStyle w:val="12"/>
            </w:pPr>
            <w:r>
              <w:t>≥5项</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专家资质合格率</w:t>
            </w:r>
          </w:p>
          <w:p>
            <w:pPr>
              <w:pStyle w:val="12"/>
            </w:pPr>
          </w:p>
        </w:tc>
        <w:tc>
          <w:tcPr>
            <w:tcW w:w="5386" w:type="dxa"/>
            <w:vAlign w:val="center"/>
          </w:tcPr>
          <w:p>
            <w:pPr>
              <w:pStyle w:val="12"/>
            </w:pPr>
            <w:r>
              <w:t>按照合同规定聘用专家，专家具有中级以上技术职称或在该行业从业3年以上</w:t>
            </w:r>
          </w:p>
          <w:p>
            <w:pPr>
              <w:pStyle w:val="12"/>
            </w:pPr>
          </w:p>
        </w:tc>
        <w:tc>
          <w:tcPr>
            <w:tcW w:w="2268" w:type="dxa"/>
            <w:vAlign w:val="center"/>
          </w:tcPr>
          <w:p>
            <w:pPr>
              <w:pStyle w:val="12"/>
            </w:pPr>
            <w:r>
              <w:t>100%</w:t>
            </w:r>
          </w:p>
        </w:tc>
        <w:tc>
          <w:tcPr>
            <w:tcW w:w="1276" w:type="dxa"/>
            <w:vAlign w:val="center"/>
          </w:tcPr>
          <w:p>
            <w:pPr>
              <w:pStyle w:val="12"/>
            </w:pPr>
            <w:r>
              <w:t>《秦皇岛经济技术开发区安全生产专家组管理办法》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各项工作达标率</w:t>
            </w:r>
          </w:p>
          <w:p>
            <w:pPr>
              <w:pStyle w:val="12"/>
            </w:pPr>
          </w:p>
        </w:tc>
        <w:tc>
          <w:tcPr>
            <w:tcW w:w="5386" w:type="dxa"/>
            <w:vAlign w:val="center"/>
          </w:tcPr>
          <w:p>
            <w:pPr>
              <w:pStyle w:val="12"/>
            </w:pPr>
            <w:r>
              <w:t>该指标考核各项工作能否达到工作要求，购入物品是否符合验收标准，即实际达标项目个数占实际开展项目个数的比率</w:t>
            </w:r>
          </w:p>
          <w:p>
            <w:pPr>
              <w:pStyle w:val="12"/>
            </w:pP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执法检查完成时间</w:t>
            </w:r>
          </w:p>
        </w:tc>
        <w:tc>
          <w:tcPr>
            <w:tcW w:w="5386" w:type="dxa"/>
            <w:vAlign w:val="center"/>
          </w:tcPr>
          <w:p>
            <w:pPr>
              <w:pStyle w:val="12"/>
            </w:pPr>
            <w:r>
              <w:t>完成安全生产执法监察检查时间情况</w:t>
            </w:r>
          </w:p>
          <w:p>
            <w:pPr>
              <w:pStyle w:val="12"/>
            </w:pP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考核全部工作是否于2024年12月31日全部完成。</w:t>
            </w:r>
          </w:p>
          <w:p>
            <w:pPr>
              <w:pStyle w:val="12"/>
            </w:pPr>
          </w:p>
        </w:tc>
        <w:tc>
          <w:tcPr>
            <w:tcW w:w="2268" w:type="dxa"/>
            <w:vAlign w:val="center"/>
          </w:tcPr>
          <w:p>
            <w:pPr>
              <w:pStyle w:val="12"/>
            </w:pPr>
            <w:r>
              <w:t>2023年12月底</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印刷安全生产宣传手册、资料费</w:t>
            </w:r>
          </w:p>
        </w:tc>
        <w:tc>
          <w:tcPr>
            <w:tcW w:w="5386" w:type="dxa"/>
            <w:vAlign w:val="center"/>
          </w:tcPr>
          <w:p>
            <w:pPr>
              <w:pStyle w:val="12"/>
            </w:pPr>
            <w:r>
              <w:t>印制安全生产宣传手册、法规汇编、执法手册、文件、资料</w:t>
            </w:r>
          </w:p>
        </w:tc>
        <w:tc>
          <w:tcPr>
            <w:tcW w:w="2268" w:type="dxa"/>
            <w:vAlign w:val="center"/>
          </w:tcPr>
          <w:p>
            <w:pPr>
              <w:pStyle w:val="12"/>
            </w:pPr>
            <w:r>
              <w:t>≤0.7万元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订阅相关杂志</w:t>
            </w:r>
          </w:p>
        </w:tc>
        <w:tc>
          <w:tcPr>
            <w:tcW w:w="5386" w:type="dxa"/>
            <w:vAlign w:val="center"/>
          </w:tcPr>
          <w:p>
            <w:pPr>
              <w:pStyle w:val="12"/>
            </w:pPr>
            <w:r>
              <w:t>为提高安全生产监管能力，借鉴其他地方先进安全生产管理经验，需为工管委领导、应急局、安委会成员单位、办事处和渤海乡订阅《中国安全生产报》、《河北安全生产》杂志，购买其它安全生产知识书籍和执法文书。</w:t>
            </w:r>
          </w:p>
        </w:tc>
        <w:tc>
          <w:tcPr>
            <w:tcW w:w="2268" w:type="dxa"/>
            <w:vAlign w:val="center"/>
          </w:tcPr>
          <w:p>
            <w:pPr>
              <w:pStyle w:val="12"/>
            </w:pPr>
            <w:r>
              <w:t>≤0.4万元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安全活动宣传</w:t>
            </w:r>
          </w:p>
        </w:tc>
        <w:tc>
          <w:tcPr>
            <w:tcW w:w="5386" w:type="dxa"/>
            <w:vAlign w:val="center"/>
          </w:tcPr>
          <w:p>
            <w:pPr>
              <w:pStyle w:val="12"/>
            </w:pPr>
            <w:r>
              <w:t>开展安全生产月、防灾减灾日、地震宣传日宣传等活动。</w:t>
            </w:r>
          </w:p>
        </w:tc>
        <w:tc>
          <w:tcPr>
            <w:tcW w:w="2268" w:type="dxa"/>
            <w:vAlign w:val="center"/>
          </w:tcPr>
          <w:p>
            <w:pPr>
              <w:pStyle w:val="12"/>
            </w:pPr>
            <w:r>
              <w:t>≤0.8万元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值班室卫生保洁</w:t>
            </w:r>
          </w:p>
        </w:tc>
        <w:tc>
          <w:tcPr>
            <w:tcW w:w="5386" w:type="dxa"/>
            <w:vAlign w:val="center"/>
          </w:tcPr>
          <w:p>
            <w:pPr>
              <w:pStyle w:val="12"/>
            </w:pPr>
            <w:r>
              <w:t>为保障应急值守，对值班室进行卫生保洁并清洗值班床上用品</w:t>
            </w:r>
          </w:p>
        </w:tc>
        <w:tc>
          <w:tcPr>
            <w:tcW w:w="2268" w:type="dxa"/>
            <w:vAlign w:val="center"/>
          </w:tcPr>
          <w:p>
            <w:pPr>
              <w:pStyle w:val="12"/>
            </w:pPr>
            <w:r>
              <w:t>≤0.6万元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对企业进行社会化服务等</w:t>
            </w:r>
          </w:p>
        </w:tc>
        <w:tc>
          <w:tcPr>
            <w:tcW w:w="5386" w:type="dxa"/>
            <w:vAlign w:val="center"/>
          </w:tcPr>
          <w:p>
            <w:pPr>
              <w:pStyle w:val="12"/>
            </w:pPr>
            <w:r>
              <w:t>1.委托技术服务机构对企业进行社会化服务；2.开展常规性技术支持，聘请专家进行安全检查、安全生产事故技术鉴定；3.委托第三方机构编写风险辨识手册或培训教材等；4.为区内5个乡街及部分安委会成员单位聘请专家提供安全生产技术支持；5.组织对拟落户开发区的新项目安全预评价报告组织专家进行评审。</w:t>
            </w:r>
          </w:p>
        </w:tc>
        <w:tc>
          <w:tcPr>
            <w:tcW w:w="2268" w:type="dxa"/>
            <w:vAlign w:val="center"/>
          </w:tcPr>
          <w:p>
            <w:pPr>
              <w:pStyle w:val="12"/>
            </w:pPr>
            <w:r>
              <w:t>≤7.5万元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提升安全管理能力</w:t>
            </w:r>
          </w:p>
          <w:p>
            <w:pPr>
              <w:pStyle w:val="12"/>
            </w:pPr>
          </w:p>
        </w:tc>
        <w:tc>
          <w:tcPr>
            <w:tcW w:w="5386" w:type="dxa"/>
            <w:vAlign w:val="center"/>
          </w:tcPr>
          <w:p>
            <w:pPr>
              <w:pStyle w:val="12"/>
            </w:pPr>
            <w:r>
              <w:t>工作人员监管安全生产工作的责任认识和监管能力、企业安全意识得到显著提升，促进企业安全生产隐患动态清零总目标的达成，使人民群众生命财产安全得到根本保障。</w:t>
            </w:r>
          </w:p>
          <w:p>
            <w:pPr>
              <w:pStyle w:val="12"/>
            </w:pPr>
          </w:p>
        </w:tc>
        <w:tc>
          <w:tcPr>
            <w:tcW w:w="2268" w:type="dxa"/>
            <w:vAlign w:val="center"/>
          </w:tcPr>
          <w:p>
            <w:pPr>
              <w:pStyle w:val="12"/>
            </w:pPr>
            <w:r>
              <w:t>较上年提升</w:t>
            </w:r>
          </w:p>
        </w:tc>
        <w:tc>
          <w:tcPr>
            <w:tcW w:w="1276" w:type="dxa"/>
            <w:vAlign w:val="center"/>
          </w:tcPr>
          <w:p>
            <w:pPr>
              <w:pStyle w:val="12"/>
            </w:pPr>
            <w:r>
              <w:t>实际完成情况</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提升业务办事能力</w:t>
            </w:r>
          </w:p>
        </w:tc>
        <w:tc>
          <w:tcPr>
            <w:tcW w:w="5386" w:type="dxa"/>
            <w:vAlign w:val="center"/>
          </w:tcPr>
          <w:p>
            <w:pPr>
              <w:pStyle w:val="12"/>
            </w:pPr>
            <w:r>
              <w:t>提高人员素质，增强工作人员的业务知识、提高执法能力情况</w:t>
            </w:r>
          </w:p>
        </w:tc>
        <w:tc>
          <w:tcPr>
            <w:tcW w:w="2268" w:type="dxa"/>
            <w:vAlign w:val="center"/>
          </w:tcPr>
          <w:p>
            <w:pPr>
              <w:pStyle w:val="12"/>
            </w:pPr>
            <w:r>
              <w:t>较上年提升</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企业安全生产提升水平   </w:t>
            </w:r>
          </w:p>
        </w:tc>
        <w:tc>
          <w:tcPr>
            <w:tcW w:w="5386" w:type="dxa"/>
            <w:vAlign w:val="center"/>
          </w:tcPr>
          <w:p>
            <w:pPr>
              <w:pStyle w:val="12"/>
            </w:pPr>
            <w:r>
              <w:t xml:space="preserve"> 实际对各企业安全生产督导提高安全生产水平情况</w:t>
            </w:r>
          </w:p>
        </w:tc>
        <w:tc>
          <w:tcPr>
            <w:tcW w:w="2268" w:type="dxa"/>
            <w:vAlign w:val="center"/>
          </w:tcPr>
          <w:p>
            <w:pPr>
              <w:pStyle w:val="12"/>
            </w:pPr>
            <w:r>
              <w:t>较上年提升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隐患、问题整改率</w:t>
            </w:r>
          </w:p>
          <w:p>
            <w:pPr>
              <w:pStyle w:val="12"/>
            </w:pPr>
          </w:p>
        </w:tc>
        <w:tc>
          <w:tcPr>
            <w:tcW w:w="5386" w:type="dxa"/>
            <w:vAlign w:val="center"/>
          </w:tcPr>
          <w:p>
            <w:pPr>
              <w:pStyle w:val="12"/>
            </w:pPr>
            <w:r>
              <w:t>促进企业安全生产隐患清零总目标的达成，使人民群众生命财产安全得到根本保障。</w:t>
            </w:r>
          </w:p>
          <w:p>
            <w:pPr>
              <w:pStyle w:val="12"/>
            </w:pPr>
          </w:p>
        </w:tc>
        <w:tc>
          <w:tcPr>
            <w:tcW w:w="2268" w:type="dxa"/>
            <w:vAlign w:val="center"/>
          </w:tcPr>
          <w:p>
            <w:pPr>
              <w:pStyle w:val="12"/>
            </w:pPr>
            <w:r>
              <w:t>100%</w:t>
            </w:r>
          </w:p>
        </w:tc>
        <w:tc>
          <w:tcPr>
            <w:tcW w:w="1276" w:type="dxa"/>
            <w:vAlign w:val="center"/>
          </w:tcPr>
          <w:p>
            <w:pPr>
              <w:pStyle w:val="12"/>
            </w:pPr>
            <w:r>
              <w:t>实际完成情况</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≥95 %</w:t>
            </w:r>
          </w:p>
        </w:tc>
        <w:tc>
          <w:tcPr>
            <w:tcW w:w="1276" w:type="dxa"/>
            <w:vAlign w:val="center"/>
          </w:tcPr>
          <w:p>
            <w:pPr>
              <w:pStyle w:val="12"/>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 xml:space="preserve">服务企业满意度    </w:t>
            </w:r>
          </w:p>
        </w:tc>
        <w:tc>
          <w:tcPr>
            <w:tcW w:w="5386" w:type="dxa"/>
            <w:vAlign w:val="center"/>
          </w:tcPr>
          <w:p>
            <w:pPr>
              <w:pStyle w:val="12"/>
            </w:pPr>
            <w:r>
              <w:t>评价企业对检查工作得满意度</w:t>
            </w:r>
          </w:p>
          <w:p>
            <w:pPr>
              <w:pStyle w:val="12"/>
            </w:pP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3、林火视频监控系统服务经费绩效目标表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13031124P00468712091G</w:t>
            </w:r>
          </w:p>
        </w:tc>
        <w:tc>
          <w:tcPr>
            <w:tcW w:w="2835" w:type="dxa"/>
            <w:vAlign w:val="center"/>
          </w:tcPr>
          <w:p>
            <w:pPr>
              <w:pStyle w:val="10"/>
            </w:pPr>
            <w:r>
              <w:t>项目名称</w:t>
            </w:r>
          </w:p>
        </w:tc>
        <w:tc>
          <w:tcPr>
            <w:tcW w:w="6094" w:type="dxa"/>
            <w:gridSpan w:val="3"/>
            <w:vAlign w:val="center"/>
          </w:tcPr>
          <w:p>
            <w:pPr>
              <w:pStyle w:val="12"/>
            </w:pPr>
            <w:r>
              <w:t>林火视频监控系统服务经费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用于加强森林防火巡护、防火设施建设、宣传教育、预警监测等工作。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1.林火视频监控系统建设，视频监控4个。</w:t>
            </w:r>
          </w:p>
          <w:p>
            <w:pPr>
              <w:pStyle w:val="12"/>
            </w:pPr>
            <w:r>
              <w:t>2.全面提升森林火灾综合防控能力，维护人民群众生命财产和生态安全。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林火视频监控系统数量</w:t>
            </w:r>
          </w:p>
        </w:tc>
        <w:tc>
          <w:tcPr>
            <w:tcW w:w="5386" w:type="dxa"/>
            <w:vAlign w:val="center"/>
          </w:tcPr>
          <w:p>
            <w:pPr>
              <w:pStyle w:val="12"/>
            </w:pPr>
            <w:r>
              <w:t>林火视频监控系统数量</w:t>
            </w:r>
          </w:p>
        </w:tc>
        <w:tc>
          <w:tcPr>
            <w:tcW w:w="2268" w:type="dxa"/>
            <w:vAlign w:val="center"/>
          </w:tcPr>
          <w:p>
            <w:pPr>
              <w:pStyle w:val="12"/>
            </w:pPr>
            <w:r>
              <w:t>≥4个</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火情扑救效果</w:t>
            </w:r>
          </w:p>
        </w:tc>
        <w:tc>
          <w:tcPr>
            <w:tcW w:w="5386" w:type="dxa"/>
            <w:vAlign w:val="center"/>
          </w:tcPr>
          <w:p>
            <w:pPr>
              <w:pStyle w:val="12"/>
            </w:pPr>
            <w:r>
              <w:t>火情扑救迅速、复燃率低</w:t>
            </w:r>
          </w:p>
        </w:tc>
        <w:tc>
          <w:tcPr>
            <w:tcW w:w="2268" w:type="dxa"/>
            <w:vAlign w:val="center"/>
          </w:tcPr>
          <w:p>
            <w:pPr>
              <w:pStyle w:val="12"/>
            </w:pPr>
            <w:r>
              <w:t>复燃率低</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森林火情扑救响应时效</w:t>
            </w:r>
          </w:p>
        </w:tc>
        <w:tc>
          <w:tcPr>
            <w:tcW w:w="5386" w:type="dxa"/>
            <w:vAlign w:val="center"/>
          </w:tcPr>
          <w:p>
            <w:pPr>
              <w:pStyle w:val="12"/>
            </w:pPr>
            <w:r>
              <w:t>森林火情扑救迅速</w:t>
            </w:r>
          </w:p>
        </w:tc>
        <w:tc>
          <w:tcPr>
            <w:tcW w:w="2268" w:type="dxa"/>
            <w:vAlign w:val="center"/>
          </w:tcPr>
          <w:p>
            <w:pPr>
              <w:pStyle w:val="12"/>
            </w:pPr>
            <w:r>
              <w:t>≤30分钟</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林火视频监控系统费用</w:t>
            </w:r>
          </w:p>
        </w:tc>
        <w:tc>
          <w:tcPr>
            <w:tcW w:w="5386" w:type="dxa"/>
            <w:vAlign w:val="center"/>
          </w:tcPr>
          <w:p>
            <w:pPr>
              <w:pStyle w:val="12"/>
            </w:pPr>
            <w:r>
              <w:t>林火视频监控系统费用</w:t>
            </w:r>
          </w:p>
        </w:tc>
        <w:tc>
          <w:tcPr>
            <w:tcW w:w="2268" w:type="dxa"/>
            <w:vAlign w:val="center"/>
          </w:tcPr>
          <w:p>
            <w:pPr>
              <w:pStyle w:val="12"/>
            </w:pPr>
            <w:r>
              <w:t>≤29万元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改善生态环境</w:t>
            </w:r>
          </w:p>
        </w:tc>
        <w:tc>
          <w:tcPr>
            <w:tcW w:w="5386" w:type="dxa"/>
            <w:vAlign w:val="center"/>
          </w:tcPr>
          <w:p>
            <w:pPr>
              <w:pStyle w:val="12"/>
            </w:pPr>
            <w:r>
              <w:t>强化森林火灾处置，人民群众对生态环境的获得感提升</w:t>
            </w:r>
          </w:p>
        </w:tc>
        <w:tc>
          <w:tcPr>
            <w:tcW w:w="2268" w:type="dxa"/>
            <w:vAlign w:val="center"/>
          </w:tcPr>
          <w:p>
            <w:pPr>
              <w:pStyle w:val="12"/>
            </w:pPr>
            <w:r>
              <w:t>比去年有所提高</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保护森林资源</w:t>
            </w:r>
          </w:p>
        </w:tc>
        <w:tc>
          <w:tcPr>
            <w:tcW w:w="5386" w:type="dxa"/>
            <w:vAlign w:val="center"/>
          </w:tcPr>
          <w:p>
            <w:pPr>
              <w:pStyle w:val="12"/>
            </w:pPr>
            <w:r>
              <w:t>保护森林资源不受火情侵害</w:t>
            </w:r>
          </w:p>
        </w:tc>
        <w:tc>
          <w:tcPr>
            <w:tcW w:w="2268" w:type="dxa"/>
            <w:vAlign w:val="center"/>
          </w:tcPr>
          <w:p>
            <w:pPr>
              <w:pStyle w:val="12"/>
            </w:pPr>
            <w:r>
              <w:t>比去年有所提高</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被调查村民满意度占总村民的比率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4、秦财建〔2023〕724号关于提前下达2024年自然灾害救助专项资金绩效目标表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13031123P00HQ88122072</w:t>
            </w:r>
          </w:p>
        </w:tc>
        <w:tc>
          <w:tcPr>
            <w:tcW w:w="2835" w:type="dxa"/>
            <w:vAlign w:val="center"/>
          </w:tcPr>
          <w:p>
            <w:pPr>
              <w:pStyle w:val="10"/>
            </w:pPr>
            <w:r>
              <w:t>项目名称</w:t>
            </w:r>
          </w:p>
        </w:tc>
        <w:tc>
          <w:tcPr>
            <w:tcW w:w="6094" w:type="dxa"/>
            <w:gridSpan w:val="3"/>
            <w:vAlign w:val="center"/>
          </w:tcPr>
          <w:p>
            <w:pPr>
              <w:pStyle w:val="12"/>
            </w:pPr>
            <w:r>
              <w:t>秦财建〔2023〕724号关于提前下达2024年自然灾害救助专项资金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8.76</w:t>
            </w:r>
          </w:p>
        </w:tc>
        <w:tc>
          <w:tcPr>
            <w:tcW w:w="2835" w:type="dxa"/>
            <w:vAlign w:val="center"/>
          </w:tcPr>
          <w:p>
            <w:pPr>
              <w:pStyle w:val="10"/>
            </w:pPr>
            <w:r>
              <w:t>其中：财政    资金</w:t>
            </w:r>
          </w:p>
        </w:tc>
        <w:tc>
          <w:tcPr>
            <w:tcW w:w="2551" w:type="dxa"/>
            <w:vAlign w:val="center"/>
          </w:tcPr>
          <w:p>
            <w:pPr>
              <w:pStyle w:val="12"/>
            </w:pPr>
            <w:r>
              <w:t>8.76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组织开展14600户政策性农房保险工作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1.增强全区农村住房、财产及人身安全，提高受灾群众抵御自然灾害和意外事故风险的能力。农房保险参保数量达到14600户。</w:t>
            </w:r>
          </w:p>
          <w:p>
            <w:pPr>
              <w:pStyle w:val="12"/>
            </w:pPr>
            <w:r>
              <w:t>2.构建新型农民群众灾害救助体系，创新救助机制。进一步拓宽灾害救助渠道。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参保数量</w:t>
            </w:r>
          </w:p>
        </w:tc>
        <w:tc>
          <w:tcPr>
            <w:tcW w:w="5386" w:type="dxa"/>
            <w:vAlign w:val="center"/>
          </w:tcPr>
          <w:p>
            <w:pPr>
              <w:pStyle w:val="12"/>
            </w:pPr>
            <w:r>
              <w:t>参保数量</w:t>
            </w:r>
          </w:p>
        </w:tc>
        <w:tc>
          <w:tcPr>
            <w:tcW w:w="2268" w:type="dxa"/>
            <w:vAlign w:val="center"/>
          </w:tcPr>
          <w:p>
            <w:pPr>
              <w:pStyle w:val="12"/>
            </w:pPr>
            <w:r>
              <w:t>14600户</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收集数据有效率</w:t>
            </w:r>
          </w:p>
        </w:tc>
        <w:tc>
          <w:tcPr>
            <w:tcW w:w="5386" w:type="dxa"/>
            <w:vAlign w:val="center"/>
          </w:tcPr>
          <w:p>
            <w:pPr>
              <w:pStyle w:val="12"/>
            </w:pPr>
            <w:r>
              <w:t>收集的有关开发区涉及参保农房14600户的相关数据</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2024年7月</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政策性农房保险</w:t>
            </w:r>
          </w:p>
        </w:tc>
        <w:tc>
          <w:tcPr>
            <w:tcW w:w="5386" w:type="dxa"/>
            <w:vAlign w:val="center"/>
          </w:tcPr>
          <w:p>
            <w:pPr>
              <w:pStyle w:val="12"/>
            </w:pPr>
            <w:r>
              <w:t>政策性农房保险成本</w:t>
            </w:r>
          </w:p>
        </w:tc>
        <w:tc>
          <w:tcPr>
            <w:tcW w:w="2268" w:type="dxa"/>
            <w:vAlign w:val="center"/>
          </w:tcPr>
          <w:p>
            <w:pPr>
              <w:pStyle w:val="12"/>
            </w:pPr>
            <w:r>
              <w:t>6元/户</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进一步拓宽灾害救助渠道</w:t>
            </w:r>
          </w:p>
        </w:tc>
        <w:tc>
          <w:tcPr>
            <w:tcW w:w="5386" w:type="dxa"/>
            <w:vAlign w:val="center"/>
          </w:tcPr>
          <w:p>
            <w:pPr>
              <w:pStyle w:val="12"/>
            </w:pPr>
            <w:r>
              <w:t>全面推行政策性农房保险工作在拓宽灾害救助渠道方面的效益</w:t>
            </w:r>
          </w:p>
        </w:tc>
        <w:tc>
          <w:tcPr>
            <w:tcW w:w="2268" w:type="dxa"/>
            <w:vAlign w:val="center"/>
          </w:tcPr>
          <w:p>
            <w:pPr>
              <w:pStyle w:val="12"/>
            </w:pPr>
            <w:r>
              <w:t>较上年拓宽</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参保农户满意度</w:t>
            </w:r>
          </w:p>
        </w:tc>
        <w:tc>
          <w:tcPr>
            <w:tcW w:w="5386" w:type="dxa"/>
            <w:vAlign w:val="center"/>
          </w:tcPr>
          <w:p>
            <w:pPr>
              <w:pStyle w:val="12"/>
            </w:pPr>
            <w:r>
              <w:t>参保农户满意度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5、秦财企[2023]820号 关于提前下达2024年县域特色产业群“领跑者”企业培训等项目资金预算通知绩效目标表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13031124P004687124593</w:t>
            </w:r>
          </w:p>
        </w:tc>
        <w:tc>
          <w:tcPr>
            <w:tcW w:w="2835" w:type="dxa"/>
            <w:vAlign w:val="center"/>
          </w:tcPr>
          <w:p>
            <w:pPr>
              <w:pStyle w:val="10"/>
            </w:pPr>
            <w:r>
              <w:t>项目名称</w:t>
            </w:r>
          </w:p>
        </w:tc>
        <w:tc>
          <w:tcPr>
            <w:tcW w:w="6094" w:type="dxa"/>
            <w:gridSpan w:val="3"/>
            <w:vAlign w:val="center"/>
          </w:tcPr>
          <w:p>
            <w:pPr>
              <w:pStyle w:val="12"/>
            </w:pPr>
            <w:r>
              <w:t>秦财企[2023]820号 关于提前下达2024年县域特色产业群“领跑者”企业培训等项目资金预算通知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287.00</w:t>
            </w:r>
          </w:p>
        </w:tc>
        <w:tc>
          <w:tcPr>
            <w:tcW w:w="2835" w:type="dxa"/>
            <w:vAlign w:val="center"/>
          </w:tcPr>
          <w:p>
            <w:pPr>
              <w:pStyle w:val="10"/>
            </w:pPr>
            <w:r>
              <w:t>其中：财政    资金</w:t>
            </w:r>
          </w:p>
        </w:tc>
        <w:tc>
          <w:tcPr>
            <w:tcW w:w="2551" w:type="dxa"/>
            <w:vAlign w:val="center"/>
          </w:tcPr>
          <w:p>
            <w:pPr>
              <w:pStyle w:val="12"/>
            </w:pPr>
            <w:r>
              <w:t>287.00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2024年县域特色产业群“领跑者”企业培训等项目资金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1.通过项目实施，100%提升企业设计创新能力</w:t>
            </w:r>
          </w:p>
          <w:p>
            <w:pPr>
              <w:pStyle w:val="12"/>
            </w:pPr>
            <w:r>
              <w:t>2.通过项目实施，推动工业设计成果转化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支持项目数</w:t>
            </w:r>
          </w:p>
        </w:tc>
        <w:tc>
          <w:tcPr>
            <w:tcW w:w="5386" w:type="dxa"/>
            <w:vAlign w:val="center"/>
          </w:tcPr>
          <w:p>
            <w:pPr>
              <w:pStyle w:val="12"/>
            </w:pPr>
            <w:r>
              <w:t>支持国家级和省级工业设计中心总数量及工业设计成果转化项目数量</w:t>
            </w:r>
          </w:p>
        </w:tc>
        <w:tc>
          <w:tcPr>
            <w:tcW w:w="2268" w:type="dxa"/>
            <w:vAlign w:val="center"/>
          </w:tcPr>
          <w:p>
            <w:pPr>
              <w:pStyle w:val="12"/>
            </w:pPr>
            <w:r>
              <w:t>4家</w:t>
            </w:r>
          </w:p>
        </w:tc>
        <w:tc>
          <w:tcPr>
            <w:tcW w:w="1276" w:type="dxa"/>
            <w:vAlign w:val="center"/>
          </w:tcPr>
          <w:p>
            <w:pPr>
              <w:pStyle w:val="12"/>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资助工业设计成果转化项目达到支持条件及国家级和省级工业设计中心标准</w:t>
            </w:r>
          </w:p>
        </w:tc>
        <w:tc>
          <w:tcPr>
            <w:tcW w:w="2268" w:type="dxa"/>
            <w:vAlign w:val="center"/>
          </w:tcPr>
          <w:p>
            <w:pPr>
              <w:pStyle w:val="12"/>
            </w:pPr>
            <w:r>
              <w:t>达到支持标准条件</w:t>
            </w:r>
          </w:p>
        </w:tc>
        <w:tc>
          <w:tcPr>
            <w:tcW w:w="1276" w:type="dxa"/>
            <w:vAlign w:val="center"/>
          </w:tcPr>
          <w:p>
            <w:pPr>
              <w:pStyle w:val="12"/>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下达时间</w:t>
            </w:r>
          </w:p>
        </w:tc>
        <w:tc>
          <w:tcPr>
            <w:tcW w:w="5386" w:type="dxa"/>
            <w:vAlign w:val="center"/>
          </w:tcPr>
          <w:p>
            <w:pPr>
              <w:pStyle w:val="12"/>
            </w:pPr>
            <w:r>
              <w:t>项目资金下达的时间</w:t>
            </w:r>
          </w:p>
        </w:tc>
        <w:tc>
          <w:tcPr>
            <w:tcW w:w="2268" w:type="dxa"/>
            <w:vAlign w:val="center"/>
          </w:tcPr>
          <w:p>
            <w:pPr>
              <w:pStyle w:val="12"/>
            </w:pPr>
            <w:r>
              <w:t>2024年12月底前</w:t>
            </w:r>
          </w:p>
        </w:tc>
        <w:tc>
          <w:tcPr>
            <w:tcW w:w="1276" w:type="dxa"/>
            <w:vAlign w:val="center"/>
          </w:tcPr>
          <w:p>
            <w:pPr>
              <w:pStyle w:val="12"/>
            </w:pPr>
            <w:r>
              <w:t>秦财企[2023]820号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资助标准</w:t>
            </w:r>
          </w:p>
        </w:tc>
        <w:tc>
          <w:tcPr>
            <w:tcW w:w="5386" w:type="dxa"/>
            <w:vAlign w:val="center"/>
          </w:tcPr>
          <w:p>
            <w:pPr>
              <w:pStyle w:val="12"/>
            </w:pPr>
            <w:r>
              <w:t>国家级和省级工业设计中心奖励标准</w:t>
            </w:r>
          </w:p>
        </w:tc>
        <w:tc>
          <w:tcPr>
            <w:tcW w:w="2268" w:type="dxa"/>
            <w:vAlign w:val="center"/>
          </w:tcPr>
          <w:p>
            <w:pPr>
              <w:pStyle w:val="12"/>
            </w:pPr>
            <w:r>
              <w:t>100万元</w:t>
            </w:r>
          </w:p>
        </w:tc>
        <w:tc>
          <w:tcPr>
            <w:tcW w:w="1276" w:type="dxa"/>
            <w:vAlign w:val="center"/>
          </w:tcPr>
          <w:p>
            <w:pPr>
              <w:pStyle w:val="12"/>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资助标准</w:t>
            </w:r>
          </w:p>
        </w:tc>
        <w:tc>
          <w:tcPr>
            <w:tcW w:w="5386" w:type="dxa"/>
            <w:vAlign w:val="center"/>
          </w:tcPr>
          <w:p>
            <w:pPr>
              <w:pStyle w:val="12"/>
            </w:pPr>
            <w:r>
              <w:t>工业设计成果转化项目资助标准</w:t>
            </w:r>
          </w:p>
        </w:tc>
        <w:tc>
          <w:tcPr>
            <w:tcW w:w="2268" w:type="dxa"/>
            <w:vAlign w:val="center"/>
          </w:tcPr>
          <w:p>
            <w:pPr>
              <w:pStyle w:val="12"/>
            </w:pPr>
            <w:r>
              <w:t>核定支出的50%，最高不超过100万元</w:t>
            </w:r>
          </w:p>
        </w:tc>
        <w:tc>
          <w:tcPr>
            <w:tcW w:w="1276" w:type="dxa"/>
            <w:vAlign w:val="center"/>
          </w:tcPr>
          <w:p>
            <w:pPr>
              <w:pStyle w:val="12"/>
            </w:pPr>
            <w:r>
              <w:t>县域特色产业群”领跑者“企业培训标准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设计创新能力</w:t>
            </w:r>
          </w:p>
        </w:tc>
        <w:tc>
          <w:tcPr>
            <w:tcW w:w="5386" w:type="dxa"/>
            <w:vAlign w:val="center"/>
          </w:tcPr>
          <w:p>
            <w:pPr>
              <w:pStyle w:val="12"/>
            </w:pPr>
            <w:r>
              <w:t>企业设计创新能力是否得到提升</w:t>
            </w:r>
          </w:p>
        </w:tc>
        <w:tc>
          <w:tcPr>
            <w:tcW w:w="2268" w:type="dxa"/>
            <w:vAlign w:val="center"/>
          </w:tcPr>
          <w:p>
            <w:pPr>
              <w:pStyle w:val="12"/>
            </w:pPr>
            <w:r>
              <w:t>能力提升</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影响力</w:t>
            </w:r>
          </w:p>
        </w:tc>
        <w:tc>
          <w:tcPr>
            <w:tcW w:w="5386" w:type="dxa"/>
            <w:vAlign w:val="center"/>
          </w:tcPr>
          <w:p>
            <w:pPr>
              <w:pStyle w:val="12"/>
            </w:pPr>
            <w:r>
              <w:t>工业设计的社会影响力</w:t>
            </w:r>
          </w:p>
        </w:tc>
        <w:tc>
          <w:tcPr>
            <w:tcW w:w="2268" w:type="dxa"/>
            <w:vAlign w:val="center"/>
          </w:tcPr>
          <w:p>
            <w:pPr>
              <w:pStyle w:val="12"/>
            </w:pPr>
            <w:r>
              <w:t>影响力扩大</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6、森林消防防灭火工作经费绩效目标表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13031124P004687121061</w:t>
            </w:r>
          </w:p>
        </w:tc>
        <w:tc>
          <w:tcPr>
            <w:tcW w:w="2835" w:type="dxa"/>
            <w:vAlign w:val="center"/>
          </w:tcPr>
          <w:p>
            <w:pPr>
              <w:pStyle w:val="10"/>
            </w:pPr>
            <w:r>
              <w:t>项目名称</w:t>
            </w:r>
          </w:p>
        </w:tc>
        <w:tc>
          <w:tcPr>
            <w:tcW w:w="6094" w:type="dxa"/>
            <w:gridSpan w:val="3"/>
            <w:vAlign w:val="center"/>
          </w:tcPr>
          <w:p>
            <w:pPr>
              <w:pStyle w:val="12"/>
            </w:pPr>
            <w:r>
              <w:t>森林消防防灭火工作经费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145.00</w:t>
            </w:r>
          </w:p>
        </w:tc>
        <w:tc>
          <w:tcPr>
            <w:tcW w:w="2835" w:type="dxa"/>
            <w:vAlign w:val="center"/>
          </w:tcPr>
          <w:p>
            <w:pPr>
              <w:pStyle w:val="10"/>
            </w:pPr>
            <w:r>
              <w:t>其中：财政    资金</w:t>
            </w:r>
          </w:p>
        </w:tc>
        <w:tc>
          <w:tcPr>
            <w:tcW w:w="2551" w:type="dxa"/>
            <w:vAlign w:val="center"/>
          </w:tcPr>
          <w:p>
            <w:pPr>
              <w:pStyle w:val="12"/>
            </w:pPr>
            <w:r>
              <w:t>145.00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用于加强森林防火巡护、防火设施建设、宣传教育、预警监测等工作.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1.加强森林防灭火队伍建设，森林防火队员20名。</w:t>
            </w:r>
          </w:p>
          <w:p>
            <w:pPr>
              <w:pStyle w:val="12"/>
            </w:pPr>
            <w:r>
              <w:t>2.3个乡街森林防火防火期宣传物资，森林防火宣传月，强化社会宣传教育。</w:t>
            </w:r>
          </w:p>
          <w:p>
            <w:pPr>
              <w:pStyle w:val="12"/>
            </w:pPr>
            <w:r>
              <w:t>3.10台装备装具的维修保养。全面提升森林火灾综合防控能力，维护人民群众生命财产和生态安全。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维修车辆数量</w:t>
            </w:r>
          </w:p>
        </w:tc>
        <w:tc>
          <w:tcPr>
            <w:tcW w:w="5386" w:type="dxa"/>
            <w:vAlign w:val="center"/>
          </w:tcPr>
          <w:p>
            <w:pPr>
              <w:pStyle w:val="12"/>
            </w:pPr>
            <w:r>
              <w:t>巡查车辆数量</w:t>
            </w:r>
          </w:p>
        </w:tc>
        <w:tc>
          <w:tcPr>
            <w:tcW w:w="2268" w:type="dxa"/>
            <w:vAlign w:val="center"/>
          </w:tcPr>
          <w:p>
            <w:pPr>
              <w:pStyle w:val="12"/>
            </w:pPr>
            <w:r>
              <w:t>3辆</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招聘区本级森林防火队员</w:t>
            </w:r>
          </w:p>
        </w:tc>
        <w:tc>
          <w:tcPr>
            <w:tcW w:w="5386" w:type="dxa"/>
            <w:vAlign w:val="center"/>
          </w:tcPr>
          <w:p>
            <w:pPr>
              <w:pStyle w:val="12"/>
            </w:pPr>
            <w:r>
              <w:t>本级森林防火队员数量达到市“三防”体系建设要求</w:t>
            </w:r>
          </w:p>
        </w:tc>
        <w:tc>
          <w:tcPr>
            <w:tcW w:w="2268" w:type="dxa"/>
            <w:vAlign w:val="center"/>
          </w:tcPr>
          <w:p>
            <w:pPr>
              <w:pStyle w:val="12"/>
            </w:pPr>
            <w:r>
              <w:t>≤20人</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森林消防车数量</w:t>
            </w:r>
          </w:p>
        </w:tc>
        <w:tc>
          <w:tcPr>
            <w:tcW w:w="5386" w:type="dxa"/>
            <w:vAlign w:val="center"/>
          </w:tcPr>
          <w:p>
            <w:pPr>
              <w:pStyle w:val="12"/>
            </w:pPr>
            <w:r>
              <w:t>森林消防车费用</w:t>
            </w:r>
          </w:p>
        </w:tc>
        <w:tc>
          <w:tcPr>
            <w:tcW w:w="2268" w:type="dxa"/>
            <w:vAlign w:val="center"/>
          </w:tcPr>
          <w:p>
            <w:pPr>
              <w:pStyle w:val="12"/>
            </w:pPr>
            <w:r>
              <w:t>1辆</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防火队训练、生活物资装备配备数量</w:t>
            </w:r>
          </w:p>
        </w:tc>
        <w:tc>
          <w:tcPr>
            <w:tcW w:w="5386" w:type="dxa"/>
            <w:vAlign w:val="center"/>
          </w:tcPr>
          <w:p>
            <w:pPr>
              <w:pStyle w:val="12"/>
            </w:pPr>
            <w:r>
              <w:t>采购训练物资和生活物资装备情况</w:t>
            </w:r>
          </w:p>
        </w:tc>
        <w:tc>
          <w:tcPr>
            <w:tcW w:w="2268" w:type="dxa"/>
            <w:vAlign w:val="center"/>
          </w:tcPr>
          <w:p>
            <w:pPr>
              <w:pStyle w:val="12"/>
            </w:pPr>
            <w:r>
              <w:t>≤20套</w:t>
            </w:r>
          </w:p>
        </w:tc>
        <w:tc>
          <w:tcPr>
            <w:tcW w:w="1276" w:type="dxa"/>
            <w:vAlign w:val="center"/>
          </w:tcPr>
          <w:p>
            <w:pPr>
              <w:pStyle w:val="12"/>
            </w:pPr>
            <w:r>
              <w:t>《河北省森林草原消防专业队伍建设方案》（冀政办字〔2021〕39号）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采购营房物资数量</w:t>
            </w:r>
          </w:p>
        </w:tc>
        <w:tc>
          <w:tcPr>
            <w:tcW w:w="5386" w:type="dxa"/>
            <w:vAlign w:val="center"/>
          </w:tcPr>
          <w:p>
            <w:pPr>
              <w:pStyle w:val="12"/>
            </w:pPr>
            <w:r>
              <w:t>采购营房物资</w:t>
            </w:r>
          </w:p>
        </w:tc>
        <w:tc>
          <w:tcPr>
            <w:tcW w:w="2268" w:type="dxa"/>
            <w:vAlign w:val="center"/>
          </w:tcPr>
          <w:p>
            <w:pPr>
              <w:pStyle w:val="12"/>
            </w:pPr>
            <w:r>
              <w:t>6套</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视频监控点数量</w:t>
            </w:r>
          </w:p>
        </w:tc>
        <w:tc>
          <w:tcPr>
            <w:tcW w:w="5386" w:type="dxa"/>
            <w:vAlign w:val="center"/>
          </w:tcPr>
          <w:p>
            <w:pPr>
              <w:pStyle w:val="12"/>
            </w:pPr>
            <w:r>
              <w:t>视频监控点数量</w:t>
            </w:r>
          </w:p>
        </w:tc>
        <w:tc>
          <w:tcPr>
            <w:tcW w:w="2268" w:type="dxa"/>
            <w:vAlign w:val="center"/>
          </w:tcPr>
          <w:p>
            <w:pPr>
              <w:pStyle w:val="12"/>
            </w:pPr>
            <w:r>
              <w:t>4处</w:t>
            </w:r>
          </w:p>
        </w:tc>
        <w:tc>
          <w:tcPr>
            <w:tcW w:w="1276" w:type="dxa"/>
            <w:vAlign w:val="center"/>
          </w:tcPr>
          <w:p>
            <w:pPr>
              <w:pStyle w:val="12"/>
            </w:pPr>
            <w:r>
              <w:t>《河北省森林草原防火视频监控系统实施方案》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宣传受众覆盖率</w:t>
            </w:r>
          </w:p>
        </w:tc>
        <w:tc>
          <w:tcPr>
            <w:tcW w:w="5386" w:type="dxa"/>
            <w:vAlign w:val="center"/>
          </w:tcPr>
          <w:p>
            <w:pPr>
              <w:pStyle w:val="12"/>
            </w:pPr>
            <w:r>
              <w:t>林区群众知晓程度</w:t>
            </w:r>
          </w:p>
        </w:tc>
        <w:tc>
          <w:tcPr>
            <w:tcW w:w="2268" w:type="dxa"/>
            <w:vAlign w:val="center"/>
          </w:tcPr>
          <w:p>
            <w:pPr>
              <w:pStyle w:val="12"/>
            </w:pPr>
            <w:r>
              <w:t>≥80%</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火情扑救成效</w:t>
            </w:r>
          </w:p>
        </w:tc>
        <w:tc>
          <w:tcPr>
            <w:tcW w:w="5386" w:type="dxa"/>
            <w:vAlign w:val="center"/>
          </w:tcPr>
          <w:p>
            <w:pPr>
              <w:pStyle w:val="12"/>
            </w:pPr>
            <w:r>
              <w:t>火情扑救迅速、复燃率低</w:t>
            </w:r>
          </w:p>
        </w:tc>
        <w:tc>
          <w:tcPr>
            <w:tcW w:w="2268" w:type="dxa"/>
            <w:vAlign w:val="center"/>
          </w:tcPr>
          <w:p>
            <w:pPr>
              <w:pStyle w:val="12"/>
            </w:pPr>
            <w:r>
              <w:t>复燃率低</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森林火情扑救响应时间</w:t>
            </w:r>
          </w:p>
        </w:tc>
        <w:tc>
          <w:tcPr>
            <w:tcW w:w="5386" w:type="dxa"/>
            <w:vAlign w:val="center"/>
          </w:tcPr>
          <w:p>
            <w:pPr>
              <w:pStyle w:val="12"/>
            </w:pPr>
            <w:r>
              <w:t>森林火情扑救迅速</w:t>
            </w:r>
          </w:p>
        </w:tc>
        <w:tc>
          <w:tcPr>
            <w:tcW w:w="2268" w:type="dxa"/>
            <w:vAlign w:val="center"/>
          </w:tcPr>
          <w:p>
            <w:pPr>
              <w:pStyle w:val="12"/>
            </w:pPr>
            <w:r>
              <w:t>≤30分钟</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森林防火工作宣传费</w:t>
            </w:r>
          </w:p>
        </w:tc>
        <w:tc>
          <w:tcPr>
            <w:tcW w:w="5386" w:type="dxa"/>
            <w:vAlign w:val="center"/>
          </w:tcPr>
          <w:p>
            <w:pPr>
              <w:pStyle w:val="12"/>
            </w:pPr>
            <w:r>
              <w:t>支付森林防火工作宣传费用</w:t>
            </w:r>
          </w:p>
        </w:tc>
        <w:tc>
          <w:tcPr>
            <w:tcW w:w="2268" w:type="dxa"/>
            <w:vAlign w:val="center"/>
          </w:tcPr>
          <w:p>
            <w:pPr>
              <w:pStyle w:val="12"/>
            </w:pPr>
            <w:r>
              <w:t>≤3.14万元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日常训练和生活用品保障支出</w:t>
            </w:r>
          </w:p>
        </w:tc>
        <w:tc>
          <w:tcPr>
            <w:tcW w:w="5386" w:type="dxa"/>
            <w:vAlign w:val="center"/>
          </w:tcPr>
          <w:p>
            <w:pPr>
              <w:pStyle w:val="12"/>
            </w:pPr>
            <w:r>
              <w:t>支付每人日常训练和生活用品保障</w:t>
            </w:r>
          </w:p>
        </w:tc>
        <w:tc>
          <w:tcPr>
            <w:tcW w:w="2268" w:type="dxa"/>
            <w:vAlign w:val="center"/>
          </w:tcPr>
          <w:p>
            <w:pPr>
              <w:pStyle w:val="12"/>
            </w:pPr>
            <w:r>
              <w:t>≤0.18万元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装备装具的维修保养</w:t>
            </w:r>
          </w:p>
        </w:tc>
        <w:tc>
          <w:tcPr>
            <w:tcW w:w="5386" w:type="dxa"/>
            <w:vAlign w:val="center"/>
          </w:tcPr>
          <w:p>
            <w:pPr>
              <w:pStyle w:val="12"/>
            </w:pPr>
            <w:r>
              <w:t>每台装备装具的维修保养费用（10台）</w:t>
            </w:r>
          </w:p>
        </w:tc>
        <w:tc>
          <w:tcPr>
            <w:tcW w:w="2268" w:type="dxa"/>
            <w:vAlign w:val="center"/>
          </w:tcPr>
          <w:p>
            <w:pPr>
              <w:pStyle w:val="12"/>
            </w:pPr>
            <w:r>
              <w:t>≤0.1万元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车辆巡查维护</w:t>
            </w:r>
          </w:p>
        </w:tc>
        <w:tc>
          <w:tcPr>
            <w:tcW w:w="5386" w:type="dxa"/>
            <w:vAlign w:val="center"/>
          </w:tcPr>
          <w:p>
            <w:pPr>
              <w:pStyle w:val="12"/>
            </w:pPr>
            <w:r>
              <w:t>支付车辆巡查维护费用</w:t>
            </w:r>
          </w:p>
        </w:tc>
        <w:tc>
          <w:tcPr>
            <w:tcW w:w="2268" w:type="dxa"/>
            <w:vAlign w:val="center"/>
          </w:tcPr>
          <w:p>
            <w:pPr>
              <w:pStyle w:val="12"/>
            </w:pPr>
            <w:r>
              <w:t>≤3万元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防火队战备训练</w:t>
            </w:r>
          </w:p>
        </w:tc>
        <w:tc>
          <w:tcPr>
            <w:tcW w:w="5386" w:type="dxa"/>
            <w:vAlign w:val="center"/>
          </w:tcPr>
          <w:p>
            <w:pPr>
              <w:pStyle w:val="12"/>
            </w:pPr>
            <w:r>
              <w:t>支付防火队每人战备训练费用</w:t>
            </w:r>
          </w:p>
        </w:tc>
        <w:tc>
          <w:tcPr>
            <w:tcW w:w="2268" w:type="dxa"/>
            <w:vAlign w:val="center"/>
          </w:tcPr>
          <w:p>
            <w:pPr>
              <w:pStyle w:val="12"/>
            </w:pPr>
            <w:r>
              <w:t>≤0.1万元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森林消防队员薪资费用</w:t>
            </w:r>
          </w:p>
        </w:tc>
        <w:tc>
          <w:tcPr>
            <w:tcW w:w="5386" w:type="dxa"/>
            <w:vAlign w:val="center"/>
          </w:tcPr>
          <w:p>
            <w:pPr>
              <w:pStyle w:val="12"/>
            </w:pPr>
            <w:r>
              <w:t>森林消防队员每人薪资费用</w:t>
            </w:r>
          </w:p>
        </w:tc>
        <w:tc>
          <w:tcPr>
            <w:tcW w:w="2268" w:type="dxa"/>
            <w:vAlign w:val="center"/>
          </w:tcPr>
          <w:p>
            <w:pPr>
              <w:pStyle w:val="12"/>
            </w:pPr>
            <w:r>
              <w:t>≤6.62万元</w:t>
            </w:r>
          </w:p>
        </w:tc>
        <w:tc>
          <w:tcPr>
            <w:tcW w:w="1276" w:type="dxa"/>
            <w:vAlign w:val="center"/>
          </w:tcPr>
          <w:p>
            <w:pPr>
              <w:pStyle w:val="12"/>
            </w:pPr>
            <w:r>
              <w:t>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改善生态环境</w:t>
            </w:r>
          </w:p>
        </w:tc>
        <w:tc>
          <w:tcPr>
            <w:tcW w:w="5386" w:type="dxa"/>
            <w:vAlign w:val="center"/>
          </w:tcPr>
          <w:p>
            <w:pPr>
              <w:pStyle w:val="12"/>
            </w:pPr>
            <w:r>
              <w:t>比去年提高得满分，否则酌情扣分。</w:t>
            </w:r>
          </w:p>
        </w:tc>
        <w:tc>
          <w:tcPr>
            <w:tcW w:w="2268" w:type="dxa"/>
            <w:vAlign w:val="center"/>
          </w:tcPr>
          <w:p>
            <w:pPr>
              <w:pStyle w:val="12"/>
            </w:pPr>
            <w:r>
              <w:t>比去年有所提高</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保护森林资源</w:t>
            </w:r>
          </w:p>
        </w:tc>
        <w:tc>
          <w:tcPr>
            <w:tcW w:w="5386" w:type="dxa"/>
            <w:vAlign w:val="center"/>
          </w:tcPr>
          <w:p>
            <w:pPr>
              <w:pStyle w:val="12"/>
            </w:pPr>
            <w:r>
              <w:t>保护森林资源不受火情侵害</w:t>
            </w:r>
          </w:p>
        </w:tc>
        <w:tc>
          <w:tcPr>
            <w:tcW w:w="2268" w:type="dxa"/>
            <w:vAlign w:val="center"/>
          </w:tcPr>
          <w:p>
            <w:pPr>
              <w:pStyle w:val="12"/>
            </w:pPr>
            <w:r>
              <w:t>比去年有所提高</w:t>
            </w:r>
          </w:p>
        </w:tc>
        <w:tc>
          <w:tcPr>
            <w:tcW w:w="1276" w:type="dxa"/>
            <w:vAlign w:val="center"/>
          </w:tcPr>
          <w:p>
            <w:pPr>
              <w:pStyle w:val="12"/>
            </w:pPr>
            <w:r>
              <w:t>市两办《关于进一步加强“三防”体系建设全面提升森林火灾综合防控能力的实施方案》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被调查村民满意度占总村民的比率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7、视频会议系统绩效目标表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13031124P00468712109U</w:t>
            </w:r>
          </w:p>
        </w:tc>
        <w:tc>
          <w:tcPr>
            <w:tcW w:w="2835" w:type="dxa"/>
            <w:vAlign w:val="center"/>
          </w:tcPr>
          <w:p>
            <w:pPr>
              <w:pStyle w:val="10"/>
            </w:pPr>
            <w:r>
              <w:t>项目名称</w:t>
            </w:r>
          </w:p>
        </w:tc>
        <w:tc>
          <w:tcPr>
            <w:tcW w:w="6094" w:type="dxa"/>
            <w:gridSpan w:val="3"/>
            <w:vAlign w:val="center"/>
          </w:tcPr>
          <w:p>
            <w:pPr>
              <w:pStyle w:val="12"/>
            </w:pPr>
            <w:r>
              <w:t>视频会议系统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为了使视频会议系统有效运行，需租用通讯线路，请维护单位对系统进行维护，对损坏的设备还需要进行维修更新，共计1万元。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1.为了使视频会议系统有效运行，需租用通讯线路，预计举办视频会议至少6次</w:t>
            </w:r>
          </w:p>
          <w:p>
            <w:pPr>
              <w:pStyle w:val="12"/>
            </w:pPr>
            <w:r>
              <w:t>2. 视频会议系统正常运行，保障单位办公需求。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参加视频会议次数</w:t>
            </w:r>
          </w:p>
        </w:tc>
        <w:tc>
          <w:tcPr>
            <w:tcW w:w="5386" w:type="dxa"/>
            <w:vAlign w:val="center"/>
          </w:tcPr>
          <w:p>
            <w:pPr>
              <w:pStyle w:val="12"/>
            </w:pPr>
            <w:r>
              <w:t>参加视频会议次数</w:t>
            </w:r>
          </w:p>
        </w:tc>
        <w:tc>
          <w:tcPr>
            <w:tcW w:w="2268" w:type="dxa"/>
            <w:vAlign w:val="center"/>
          </w:tcPr>
          <w:p>
            <w:pPr>
              <w:pStyle w:val="12"/>
            </w:pPr>
            <w:r>
              <w:t>≥6次</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维修维护优良率</w:t>
            </w:r>
          </w:p>
        </w:tc>
        <w:tc>
          <w:tcPr>
            <w:tcW w:w="5386" w:type="dxa"/>
            <w:vAlign w:val="center"/>
          </w:tcPr>
          <w:p>
            <w:pPr>
              <w:pStyle w:val="12"/>
            </w:pPr>
            <w:r>
              <w:t>维修维护合格次数占总次数的比率</w:t>
            </w:r>
          </w:p>
        </w:tc>
        <w:tc>
          <w:tcPr>
            <w:tcW w:w="2268" w:type="dxa"/>
            <w:vAlign w:val="center"/>
          </w:tcPr>
          <w:p>
            <w:pPr>
              <w:pStyle w:val="12"/>
            </w:pPr>
            <w:r>
              <w:t>≥95%</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故障维修及时率</w:t>
            </w:r>
          </w:p>
          <w:p>
            <w:pPr>
              <w:pStyle w:val="12"/>
            </w:pPr>
          </w:p>
        </w:tc>
        <w:tc>
          <w:tcPr>
            <w:tcW w:w="5386" w:type="dxa"/>
            <w:vAlign w:val="center"/>
          </w:tcPr>
          <w:p>
            <w:pPr>
              <w:pStyle w:val="12"/>
            </w:pPr>
            <w:r>
              <w:t>为保障办公需求，维修时限为小于7个工作日，故障维修及时率=实际维修天数规定时间内数量/总维修次数*100%</w:t>
            </w:r>
          </w:p>
          <w:p>
            <w:pPr>
              <w:pStyle w:val="12"/>
            </w:pPr>
          </w:p>
        </w:tc>
        <w:tc>
          <w:tcPr>
            <w:tcW w:w="2268" w:type="dxa"/>
            <w:vAlign w:val="center"/>
          </w:tcPr>
          <w:p>
            <w:pPr>
              <w:pStyle w:val="12"/>
            </w:pPr>
            <w:r>
              <w:t>≥95%</w:t>
            </w:r>
          </w:p>
        </w:tc>
        <w:tc>
          <w:tcPr>
            <w:tcW w:w="1276" w:type="dxa"/>
            <w:vAlign w:val="center"/>
          </w:tcPr>
          <w:p>
            <w:pPr>
              <w:pStyle w:val="12"/>
            </w:pPr>
            <w:r>
              <w:t>实际工作情况</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视频专网维修维护支出</w:t>
            </w:r>
          </w:p>
        </w:tc>
        <w:tc>
          <w:tcPr>
            <w:tcW w:w="5386" w:type="dxa"/>
            <w:vAlign w:val="center"/>
          </w:tcPr>
          <w:p>
            <w:pPr>
              <w:pStyle w:val="12"/>
            </w:pPr>
            <w:r>
              <w:t>视频专网维修维护支出</w:t>
            </w:r>
          </w:p>
        </w:tc>
        <w:tc>
          <w:tcPr>
            <w:tcW w:w="2268" w:type="dxa"/>
            <w:vAlign w:val="center"/>
          </w:tcPr>
          <w:p>
            <w:pPr>
              <w:pStyle w:val="12"/>
            </w:pPr>
            <w:r>
              <w:t>≤0.16万元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视频专网续租支出</w:t>
            </w:r>
          </w:p>
        </w:tc>
        <w:tc>
          <w:tcPr>
            <w:tcW w:w="5386" w:type="dxa"/>
            <w:vAlign w:val="center"/>
          </w:tcPr>
          <w:p>
            <w:pPr>
              <w:pStyle w:val="12"/>
            </w:pPr>
            <w:r>
              <w:t>视频专网续租支出</w:t>
            </w:r>
          </w:p>
          <w:p>
            <w:pPr>
              <w:pStyle w:val="12"/>
            </w:pPr>
          </w:p>
          <w:p>
            <w:pPr>
              <w:pStyle w:val="12"/>
            </w:pPr>
          </w:p>
        </w:tc>
        <w:tc>
          <w:tcPr>
            <w:tcW w:w="2268" w:type="dxa"/>
            <w:vAlign w:val="center"/>
          </w:tcPr>
          <w:p>
            <w:pPr>
              <w:pStyle w:val="12"/>
            </w:pPr>
            <w:r>
              <w:t>≤0.84万元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视频会议系统正常运行，保障单位办公需求。</w:t>
            </w:r>
          </w:p>
        </w:tc>
        <w:tc>
          <w:tcPr>
            <w:tcW w:w="5386" w:type="dxa"/>
            <w:vAlign w:val="center"/>
          </w:tcPr>
          <w:p>
            <w:pPr>
              <w:pStyle w:val="12"/>
            </w:pPr>
            <w:r>
              <w:t>资金安排对业务保障能力的提升情况</w:t>
            </w:r>
          </w:p>
        </w:tc>
        <w:tc>
          <w:tcPr>
            <w:tcW w:w="2268" w:type="dxa"/>
            <w:vAlign w:val="center"/>
          </w:tcPr>
          <w:p>
            <w:pPr>
              <w:pStyle w:val="12"/>
            </w:pPr>
            <w:r>
              <w:t>比上年提高</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≥90%</w:t>
            </w:r>
          </w:p>
        </w:tc>
        <w:tc>
          <w:tcPr>
            <w:tcW w:w="1276" w:type="dxa"/>
            <w:vAlign w:val="center"/>
          </w:tcPr>
          <w:p>
            <w:pPr>
              <w:pStyle w:val="12"/>
            </w:pPr>
            <w:r>
              <w:t>实际工作情况</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8、信息化平台维护费用绩效目标表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13031124P004687120924</w:t>
            </w:r>
          </w:p>
        </w:tc>
        <w:tc>
          <w:tcPr>
            <w:tcW w:w="2835" w:type="dxa"/>
            <w:vAlign w:val="center"/>
          </w:tcPr>
          <w:p>
            <w:pPr>
              <w:pStyle w:val="10"/>
            </w:pPr>
            <w:r>
              <w:t>项目名称</w:t>
            </w:r>
          </w:p>
        </w:tc>
        <w:tc>
          <w:tcPr>
            <w:tcW w:w="6094" w:type="dxa"/>
            <w:gridSpan w:val="3"/>
            <w:vAlign w:val="center"/>
          </w:tcPr>
          <w:p>
            <w:pPr>
              <w:pStyle w:val="12"/>
            </w:pPr>
            <w:r>
              <w:t>信息化平台维护费用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用于信息化平台日常维护。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1.保障1套信息化平台平稳运行</w:t>
            </w:r>
          </w:p>
          <w:p>
            <w:pPr>
              <w:pStyle w:val="12"/>
            </w:pPr>
            <w:r>
              <w:t>2.减少对企业的打扰，有利于优化营商环境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保障信息化平台数量</w:t>
            </w:r>
          </w:p>
        </w:tc>
        <w:tc>
          <w:tcPr>
            <w:tcW w:w="5386" w:type="dxa"/>
            <w:vAlign w:val="center"/>
          </w:tcPr>
          <w:p>
            <w:pPr>
              <w:pStyle w:val="12"/>
            </w:pPr>
            <w:r>
              <w:t>保障信息化平台数量</w:t>
            </w:r>
          </w:p>
        </w:tc>
        <w:tc>
          <w:tcPr>
            <w:tcW w:w="2268" w:type="dxa"/>
            <w:vAlign w:val="center"/>
          </w:tcPr>
          <w:p>
            <w:pPr>
              <w:pStyle w:val="12"/>
            </w:pPr>
            <w:r>
              <w:t>1套</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信息化平台平稳运行率</w:t>
            </w:r>
          </w:p>
          <w:p>
            <w:pPr>
              <w:pStyle w:val="12"/>
            </w:pPr>
          </w:p>
        </w:tc>
        <w:tc>
          <w:tcPr>
            <w:tcW w:w="5386" w:type="dxa"/>
            <w:vAlign w:val="center"/>
          </w:tcPr>
          <w:p>
            <w:pPr>
              <w:pStyle w:val="12"/>
            </w:pPr>
            <w:r>
              <w:t>信息化平台平稳运行率</w:t>
            </w:r>
          </w:p>
          <w:p>
            <w:pPr>
              <w:pStyle w:val="12"/>
            </w:pPr>
          </w:p>
        </w:tc>
        <w:tc>
          <w:tcPr>
            <w:tcW w:w="2268" w:type="dxa"/>
            <w:vAlign w:val="center"/>
          </w:tcPr>
          <w:p>
            <w:pPr>
              <w:pStyle w:val="12"/>
            </w:pPr>
            <w:r>
              <w:t>≥95%</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工作完成时间</w:t>
            </w:r>
          </w:p>
        </w:tc>
        <w:tc>
          <w:tcPr>
            <w:tcW w:w="2268" w:type="dxa"/>
            <w:vAlign w:val="center"/>
          </w:tcPr>
          <w:p>
            <w:pPr>
              <w:pStyle w:val="12"/>
            </w:pPr>
            <w:r>
              <w:t>2024年12月底前</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硬件备品备件支出</w:t>
            </w:r>
          </w:p>
        </w:tc>
        <w:tc>
          <w:tcPr>
            <w:tcW w:w="5386" w:type="dxa"/>
            <w:vAlign w:val="center"/>
          </w:tcPr>
          <w:p>
            <w:pPr>
              <w:pStyle w:val="12"/>
            </w:pPr>
            <w:r>
              <w:t>硬件备品备件支出</w:t>
            </w:r>
          </w:p>
        </w:tc>
        <w:tc>
          <w:tcPr>
            <w:tcW w:w="2268" w:type="dxa"/>
            <w:vAlign w:val="center"/>
          </w:tcPr>
          <w:p>
            <w:pPr>
              <w:pStyle w:val="12"/>
            </w:pPr>
            <w:r>
              <w:t>≤1.5万元</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软件升级维护支出</w:t>
            </w:r>
          </w:p>
        </w:tc>
        <w:tc>
          <w:tcPr>
            <w:tcW w:w="5386" w:type="dxa"/>
            <w:vAlign w:val="center"/>
          </w:tcPr>
          <w:p>
            <w:pPr>
              <w:pStyle w:val="12"/>
            </w:pPr>
            <w:r>
              <w:t>软件升级维护支出</w:t>
            </w:r>
          </w:p>
        </w:tc>
        <w:tc>
          <w:tcPr>
            <w:tcW w:w="2268" w:type="dxa"/>
            <w:vAlign w:val="center"/>
          </w:tcPr>
          <w:p>
            <w:pPr>
              <w:pStyle w:val="12"/>
            </w:pPr>
            <w:r>
              <w:t>≤0.5万元</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减少对企业的打扰，有利于优化营商环境</w:t>
            </w:r>
          </w:p>
        </w:tc>
        <w:tc>
          <w:tcPr>
            <w:tcW w:w="5386" w:type="dxa"/>
            <w:vAlign w:val="center"/>
          </w:tcPr>
          <w:p>
            <w:pPr>
              <w:pStyle w:val="12"/>
            </w:pPr>
            <w:r>
              <w:t>减少对企业的打扰，有利于优化营商环境</w:t>
            </w:r>
          </w:p>
        </w:tc>
        <w:tc>
          <w:tcPr>
            <w:tcW w:w="2268" w:type="dxa"/>
            <w:vAlign w:val="center"/>
          </w:tcPr>
          <w:p>
            <w:pPr>
              <w:pStyle w:val="12"/>
            </w:pPr>
            <w:r>
              <w:t>较上年提高</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企业满意程度</w:t>
            </w:r>
          </w:p>
        </w:tc>
        <w:tc>
          <w:tcPr>
            <w:tcW w:w="5386" w:type="dxa"/>
            <w:vAlign w:val="center"/>
          </w:tcPr>
          <w:p>
            <w:pPr>
              <w:pStyle w:val="12"/>
            </w:pPr>
            <w:r>
              <w:t>企业满意程度</w:t>
            </w:r>
          </w:p>
        </w:tc>
        <w:tc>
          <w:tcPr>
            <w:tcW w:w="2268" w:type="dxa"/>
            <w:vAlign w:val="center"/>
          </w:tcPr>
          <w:p>
            <w:pPr>
              <w:pStyle w:val="12"/>
            </w:pPr>
            <w:r>
              <w:t>≥90%</w:t>
            </w:r>
          </w:p>
        </w:tc>
        <w:tc>
          <w:tcPr>
            <w:tcW w:w="1276" w:type="dxa"/>
            <w:vAlign w:val="center"/>
          </w:tcPr>
          <w:p>
            <w:pPr>
              <w:pStyle w:val="12"/>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9、应急管理工作保障经费绩效目标表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13031124P00468712107L</w:t>
            </w:r>
          </w:p>
        </w:tc>
        <w:tc>
          <w:tcPr>
            <w:tcW w:w="2835" w:type="dxa"/>
            <w:vAlign w:val="center"/>
          </w:tcPr>
          <w:p>
            <w:pPr>
              <w:pStyle w:val="10"/>
            </w:pPr>
            <w:r>
              <w:t>项目名称</w:t>
            </w:r>
          </w:p>
        </w:tc>
        <w:tc>
          <w:tcPr>
            <w:tcW w:w="6094" w:type="dxa"/>
            <w:gridSpan w:val="3"/>
            <w:vAlign w:val="center"/>
          </w:tcPr>
          <w:p>
            <w:pPr>
              <w:pStyle w:val="12"/>
            </w:pPr>
            <w:r>
              <w:t>应急管理工作保障经费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提供工作保障，以利于外勤工作的有效开展，共计25万元。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1.为做好重点时段安全生产工作，租用车辆等为开展外勤工作提供保障，车辆租用数≥5辆。</w:t>
            </w:r>
          </w:p>
          <w:p>
            <w:pPr>
              <w:pStyle w:val="12"/>
            </w:pPr>
            <w:r>
              <w:t>2.保障科室日常督导检查工作正常开展</w:t>
            </w:r>
          </w:p>
          <w:p>
            <w:pPr>
              <w:pStyle w:val="12"/>
            </w:pPr>
            <w:r>
              <w:t>3.企业安全生产能力水平较上年提升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租用车辆数量</w:t>
            </w:r>
          </w:p>
        </w:tc>
        <w:tc>
          <w:tcPr>
            <w:tcW w:w="5386" w:type="dxa"/>
            <w:vAlign w:val="center"/>
          </w:tcPr>
          <w:p>
            <w:pPr>
              <w:pStyle w:val="12"/>
            </w:pPr>
            <w:r>
              <w:t>租用车辆数量</w:t>
            </w:r>
          </w:p>
        </w:tc>
        <w:tc>
          <w:tcPr>
            <w:tcW w:w="2268" w:type="dxa"/>
            <w:vAlign w:val="center"/>
          </w:tcPr>
          <w:p>
            <w:pPr>
              <w:pStyle w:val="12"/>
            </w:pPr>
            <w:r>
              <w:t>≥5辆</w:t>
            </w:r>
          </w:p>
        </w:tc>
        <w:tc>
          <w:tcPr>
            <w:tcW w:w="1276" w:type="dxa"/>
            <w:vAlign w:val="center"/>
          </w:tcPr>
          <w:p>
            <w:pPr>
              <w:pStyle w:val="12"/>
            </w:pP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租用车辆验收合格率</w:t>
            </w:r>
          </w:p>
        </w:tc>
        <w:tc>
          <w:tcPr>
            <w:tcW w:w="2268" w:type="dxa"/>
            <w:vAlign w:val="center"/>
          </w:tcPr>
          <w:p>
            <w:pPr>
              <w:pStyle w:val="12"/>
            </w:pPr>
            <w:r>
              <w:t>≥90%</w:t>
            </w:r>
          </w:p>
        </w:tc>
        <w:tc>
          <w:tcPr>
            <w:tcW w:w="1276" w:type="dxa"/>
            <w:vAlign w:val="center"/>
          </w:tcPr>
          <w:p>
            <w:pPr>
              <w:pStyle w:val="12"/>
            </w:pP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督导检查完成时间</w:t>
            </w:r>
          </w:p>
        </w:tc>
        <w:tc>
          <w:tcPr>
            <w:tcW w:w="5386" w:type="dxa"/>
            <w:vAlign w:val="center"/>
          </w:tcPr>
          <w:p>
            <w:pPr>
              <w:pStyle w:val="12"/>
            </w:pPr>
            <w:r>
              <w:t>督导检查完成时间</w:t>
            </w:r>
          </w:p>
        </w:tc>
        <w:tc>
          <w:tcPr>
            <w:tcW w:w="2268" w:type="dxa"/>
            <w:vAlign w:val="center"/>
          </w:tcPr>
          <w:p>
            <w:pPr>
              <w:pStyle w:val="12"/>
            </w:pPr>
            <w:r>
              <w:t>12月底前</w:t>
            </w:r>
          </w:p>
        </w:tc>
        <w:tc>
          <w:tcPr>
            <w:tcW w:w="1276" w:type="dxa"/>
            <w:vAlign w:val="center"/>
          </w:tcPr>
          <w:p>
            <w:pPr>
              <w:pStyle w:val="12"/>
            </w:pPr>
            <w:r>
              <w:t>实际完成情况</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购买服务费用</w:t>
            </w:r>
          </w:p>
        </w:tc>
        <w:tc>
          <w:tcPr>
            <w:tcW w:w="5386" w:type="dxa"/>
            <w:vAlign w:val="center"/>
          </w:tcPr>
          <w:p>
            <w:pPr>
              <w:pStyle w:val="12"/>
            </w:pPr>
            <w:r>
              <w:t>实际支出预算控制额</w:t>
            </w:r>
          </w:p>
        </w:tc>
        <w:tc>
          <w:tcPr>
            <w:tcW w:w="2268" w:type="dxa"/>
            <w:vAlign w:val="center"/>
          </w:tcPr>
          <w:p>
            <w:pPr>
              <w:pStyle w:val="12"/>
            </w:pPr>
            <w:r>
              <w:t>≤25万元</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企业安全生产提升水平   </w:t>
            </w:r>
          </w:p>
        </w:tc>
        <w:tc>
          <w:tcPr>
            <w:tcW w:w="5386" w:type="dxa"/>
            <w:vAlign w:val="center"/>
          </w:tcPr>
          <w:p>
            <w:pPr>
              <w:pStyle w:val="12"/>
            </w:pPr>
            <w:r>
              <w:t xml:space="preserve"> 实际对各企业安全生产督导提高安全生产水平情况</w:t>
            </w:r>
          </w:p>
        </w:tc>
        <w:tc>
          <w:tcPr>
            <w:tcW w:w="2268" w:type="dxa"/>
            <w:vAlign w:val="center"/>
          </w:tcPr>
          <w:p>
            <w:pPr>
              <w:pStyle w:val="12"/>
            </w:pPr>
            <w:r>
              <w:t>较上年提升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服务企业满意度    </w:t>
            </w:r>
          </w:p>
        </w:tc>
        <w:tc>
          <w:tcPr>
            <w:tcW w:w="5386" w:type="dxa"/>
            <w:vAlign w:val="center"/>
          </w:tcPr>
          <w:p>
            <w:pPr>
              <w:pStyle w:val="12"/>
            </w:pPr>
            <w:r>
              <w:t>评价企业对检查工作得满意度，（体现检查人员的独立性、执法人员是否存在违规行为）</w:t>
            </w:r>
          </w:p>
          <w:p>
            <w:pPr>
              <w:pStyle w:val="12"/>
            </w:pPr>
          </w:p>
        </w:tc>
        <w:tc>
          <w:tcPr>
            <w:tcW w:w="2268" w:type="dxa"/>
            <w:vAlign w:val="center"/>
          </w:tcPr>
          <w:p>
            <w:pPr>
              <w:pStyle w:val="12"/>
            </w:pPr>
            <w:r>
              <w:t>无投诉</w:t>
            </w:r>
          </w:p>
        </w:tc>
        <w:tc>
          <w:tcPr>
            <w:tcW w:w="1276" w:type="dxa"/>
            <w:vAlign w:val="center"/>
          </w:tcPr>
          <w:p>
            <w:pPr>
              <w:pStyle w:val="12"/>
            </w:pPr>
            <w:r>
              <w:t>投诉记录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10、应急管理系统综合执法制式服装和标志费用绩效目标表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13031124P00468712093P</w:t>
            </w:r>
          </w:p>
        </w:tc>
        <w:tc>
          <w:tcPr>
            <w:tcW w:w="2835" w:type="dxa"/>
            <w:vAlign w:val="center"/>
          </w:tcPr>
          <w:p>
            <w:pPr>
              <w:pStyle w:val="10"/>
            </w:pPr>
            <w:r>
              <w:t>项目名称</w:t>
            </w:r>
          </w:p>
        </w:tc>
        <w:tc>
          <w:tcPr>
            <w:tcW w:w="6094" w:type="dxa"/>
            <w:gridSpan w:val="3"/>
            <w:vAlign w:val="center"/>
          </w:tcPr>
          <w:p>
            <w:pPr>
              <w:pStyle w:val="12"/>
            </w:pPr>
            <w:r>
              <w:t>应急管理系统综合执法制式服装和标志费用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8.07</w:t>
            </w:r>
          </w:p>
        </w:tc>
        <w:tc>
          <w:tcPr>
            <w:tcW w:w="2835" w:type="dxa"/>
            <w:vAlign w:val="center"/>
          </w:tcPr>
          <w:p>
            <w:pPr>
              <w:pStyle w:val="10"/>
            </w:pPr>
            <w:r>
              <w:t>其中：财政    资金</w:t>
            </w:r>
          </w:p>
        </w:tc>
        <w:tc>
          <w:tcPr>
            <w:tcW w:w="2551" w:type="dxa"/>
            <w:vAlign w:val="center"/>
          </w:tcPr>
          <w:p>
            <w:pPr>
              <w:pStyle w:val="12"/>
            </w:pPr>
            <w:r>
              <w:t>8.07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20名在编在岗行政执法人员发放行政执法制服和标志。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1.购置执法服装20套</w:t>
            </w:r>
          </w:p>
          <w:p>
            <w:pPr>
              <w:pStyle w:val="12"/>
            </w:pPr>
            <w:r>
              <w:t>2.应急管理系统综合执法制式服装和标志验收合格率≥95%</w:t>
            </w:r>
          </w:p>
          <w:p>
            <w:pPr>
              <w:pStyle w:val="12"/>
            </w:pPr>
            <w:r>
              <w:t>3.推进了规范文明执法，提高了执法队伍形象</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执法服装购置数量</w:t>
            </w:r>
          </w:p>
        </w:tc>
        <w:tc>
          <w:tcPr>
            <w:tcW w:w="5386" w:type="dxa"/>
            <w:vAlign w:val="center"/>
          </w:tcPr>
          <w:p>
            <w:pPr>
              <w:pStyle w:val="12"/>
            </w:pPr>
            <w:r>
              <w:t>实际购置的执法服装数量</w:t>
            </w:r>
          </w:p>
        </w:tc>
        <w:tc>
          <w:tcPr>
            <w:tcW w:w="2268" w:type="dxa"/>
            <w:vAlign w:val="center"/>
          </w:tcPr>
          <w:p>
            <w:pPr>
              <w:pStyle w:val="12"/>
            </w:pPr>
            <w:r>
              <w:t>≥20 件</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p>
            <w:pPr>
              <w:pStyle w:val="12"/>
            </w:pPr>
          </w:p>
        </w:tc>
        <w:tc>
          <w:tcPr>
            <w:tcW w:w="5386" w:type="dxa"/>
            <w:vAlign w:val="center"/>
          </w:tcPr>
          <w:p>
            <w:pPr>
              <w:pStyle w:val="12"/>
            </w:pPr>
            <w:r>
              <w:t>验收合格数量／总数量＊１００％</w:t>
            </w:r>
          </w:p>
          <w:p>
            <w:pPr>
              <w:pStyle w:val="12"/>
            </w:pPr>
          </w:p>
        </w:tc>
        <w:tc>
          <w:tcPr>
            <w:tcW w:w="2268" w:type="dxa"/>
            <w:vAlign w:val="center"/>
          </w:tcPr>
          <w:p>
            <w:pPr>
              <w:pStyle w:val="12"/>
            </w:pPr>
            <w:r>
              <w:t>≥95%</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工作完成时间</w:t>
            </w:r>
          </w:p>
        </w:tc>
        <w:tc>
          <w:tcPr>
            <w:tcW w:w="2268" w:type="dxa"/>
            <w:vAlign w:val="center"/>
          </w:tcPr>
          <w:p>
            <w:pPr>
              <w:pStyle w:val="12"/>
            </w:pPr>
            <w:r>
              <w:t>2024年12月底前</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男性服装采购单价</w:t>
            </w:r>
          </w:p>
        </w:tc>
        <w:tc>
          <w:tcPr>
            <w:tcW w:w="5386" w:type="dxa"/>
            <w:vAlign w:val="center"/>
          </w:tcPr>
          <w:p>
            <w:pPr>
              <w:pStyle w:val="12"/>
            </w:pPr>
            <w:r>
              <w:t>男性服装采购单价</w:t>
            </w:r>
          </w:p>
        </w:tc>
        <w:tc>
          <w:tcPr>
            <w:tcW w:w="2268" w:type="dxa"/>
            <w:vAlign w:val="center"/>
          </w:tcPr>
          <w:p>
            <w:pPr>
              <w:pStyle w:val="12"/>
            </w:pPr>
            <w:r>
              <w:t>≤0.5万元/套</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女性服装采购单价</w:t>
            </w:r>
          </w:p>
        </w:tc>
        <w:tc>
          <w:tcPr>
            <w:tcW w:w="5386" w:type="dxa"/>
            <w:vAlign w:val="center"/>
          </w:tcPr>
          <w:p>
            <w:pPr>
              <w:pStyle w:val="12"/>
            </w:pPr>
            <w:r>
              <w:t>女性服装采购单价</w:t>
            </w:r>
          </w:p>
        </w:tc>
        <w:tc>
          <w:tcPr>
            <w:tcW w:w="2268" w:type="dxa"/>
            <w:vAlign w:val="center"/>
          </w:tcPr>
          <w:p>
            <w:pPr>
              <w:pStyle w:val="12"/>
            </w:pPr>
            <w:r>
              <w:t>≤0.5万元/套</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推进了规范文明执法</w:t>
            </w:r>
          </w:p>
          <w:p>
            <w:pPr>
              <w:pStyle w:val="12"/>
            </w:pPr>
          </w:p>
        </w:tc>
        <w:tc>
          <w:tcPr>
            <w:tcW w:w="5386" w:type="dxa"/>
            <w:vAlign w:val="center"/>
          </w:tcPr>
          <w:p>
            <w:pPr>
              <w:pStyle w:val="12"/>
            </w:pPr>
            <w:r>
              <w:t>推进了规范文明执法，提高了执法队伍形象</w:t>
            </w:r>
          </w:p>
          <w:p>
            <w:pPr>
              <w:pStyle w:val="12"/>
            </w:pPr>
          </w:p>
          <w:p>
            <w:pPr>
              <w:pStyle w:val="12"/>
            </w:pPr>
          </w:p>
        </w:tc>
        <w:tc>
          <w:tcPr>
            <w:tcW w:w="2268" w:type="dxa"/>
            <w:vAlign w:val="center"/>
          </w:tcPr>
          <w:p>
            <w:pPr>
              <w:pStyle w:val="12"/>
            </w:pPr>
            <w:r>
              <w:t>较上年提升</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员工满意度</w:t>
            </w:r>
          </w:p>
        </w:tc>
        <w:tc>
          <w:tcPr>
            <w:tcW w:w="5386" w:type="dxa"/>
            <w:vAlign w:val="center"/>
          </w:tcPr>
          <w:p>
            <w:pPr>
              <w:pStyle w:val="12"/>
            </w:pPr>
            <w:r>
              <w:t>员工满意度</w:t>
            </w:r>
          </w:p>
        </w:tc>
        <w:tc>
          <w:tcPr>
            <w:tcW w:w="2268" w:type="dxa"/>
            <w:vAlign w:val="center"/>
          </w:tcPr>
          <w:p>
            <w:pPr>
              <w:pStyle w:val="12"/>
            </w:pPr>
            <w:r>
              <w:t>≥95%</w:t>
            </w:r>
          </w:p>
        </w:tc>
        <w:tc>
          <w:tcPr>
            <w:tcW w:w="1276" w:type="dxa"/>
            <w:vAlign w:val="center"/>
          </w:tcPr>
          <w:p>
            <w:pPr>
              <w:pStyle w:val="12"/>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11、应急救援能力建设费用绩效目标表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13031124P00468712105D</w:t>
            </w:r>
          </w:p>
        </w:tc>
        <w:tc>
          <w:tcPr>
            <w:tcW w:w="2835" w:type="dxa"/>
            <w:vAlign w:val="center"/>
          </w:tcPr>
          <w:p>
            <w:pPr>
              <w:pStyle w:val="10"/>
            </w:pPr>
            <w:r>
              <w:t>项目名称</w:t>
            </w:r>
          </w:p>
        </w:tc>
        <w:tc>
          <w:tcPr>
            <w:tcW w:w="6094" w:type="dxa"/>
            <w:gridSpan w:val="3"/>
            <w:vAlign w:val="center"/>
          </w:tcPr>
          <w:p>
            <w:pPr>
              <w:pStyle w:val="12"/>
            </w:pPr>
            <w:r>
              <w:t>应急救援能力建设费用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1.应急预案管理及演练。2.应急队伍建设、训练，以及应急物资装备购置。3.按照《河北省人民政府令》〔2022〕第4号《河北省应急避难场所管理办法》文件要求，城市公园为应急避难场所。为完善开发区应急管理体系建设需要，按照建设标准，需设计制作避难场所功能区示意图、路标、指示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1.完成突发事件总预案和生产安全事故预案、危险化学品事故预案、自然灾害预案、地震应急预案等5项专项应急预案的管理维护以及各专项预案的演练工作</w:t>
            </w:r>
          </w:p>
          <w:p>
            <w:pPr>
              <w:pStyle w:val="12"/>
            </w:pPr>
            <w:r>
              <w:t>2.按照“三创四建”工作要求，完善开发区应急管理体系建设，设计制作完成避难所功能区示意图、路标、指示牌200*30/个=6000元。</w:t>
            </w:r>
          </w:p>
          <w:p>
            <w:pPr>
              <w:pStyle w:val="12"/>
            </w:pPr>
            <w:r>
              <w:t>3.作训人次预计达到50人次，购买应急物资装备购置。包括队伍作训服、保险等50套，验收合格率达90%以上。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购买应急物资装备购置数量</w:t>
            </w:r>
          </w:p>
        </w:tc>
        <w:tc>
          <w:tcPr>
            <w:tcW w:w="5386" w:type="dxa"/>
            <w:vAlign w:val="center"/>
          </w:tcPr>
          <w:p>
            <w:pPr>
              <w:pStyle w:val="12"/>
            </w:pPr>
            <w:r>
              <w:t>购买应急物资装备购置数量</w:t>
            </w:r>
          </w:p>
        </w:tc>
        <w:tc>
          <w:tcPr>
            <w:tcW w:w="2268" w:type="dxa"/>
            <w:vAlign w:val="center"/>
          </w:tcPr>
          <w:p>
            <w:pPr>
              <w:pStyle w:val="12"/>
            </w:pPr>
            <w:r>
              <w:t>≥50套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参加培训人数</w:t>
            </w:r>
          </w:p>
        </w:tc>
        <w:tc>
          <w:tcPr>
            <w:tcW w:w="5386" w:type="dxa"/>
            <w:vAlign w:val="center"/>
          </w:tcPr>
          <w:p>
            <w:pPr>
              <w:pStyle w:val="12"/>
            </w:pPr>
            <w:r>
              <w:t>参加培训人数</w:t>
            </w:r>
          </w:p>
        </w:tc>
        <w:tc>
          <w:tcPr>
            <w:tcW w:w="2268" w:type="dxa"/>
            <w:vAlign w:val="center"/>
          </w:tcPr>
          <w:p>
            <w:pPr>
              <w:pStyle w:val="12"/>
            </w:pPr>
            <w:r>
              <w:t>≥50人次</w:t>
            </w:r>
          </w:p>
        </w:tc>
        <w:tc>
          <w:tcPr>
            <w:tcW w:w="1276"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p>
            <w:pPr>
              <w:pStyle w:val="12"/>
            </w:pPr>
          </w:p>
        </w:tc>
        <w:tc>
          <w:tcPr>
            <w:tcW w:w="5386" w:type="dxa"/>
            <w:vAlign w:val="center"/>
          </w:tcPr>
          <w:p>
            <w:pPr>
              <w:pStyle w:val="12"/>
            </w:pPr>
            <w:r>
              <w:t>验收合格数量／总数量*100%</w:t>
            </w:r>
          </w:p>
          <w:p>
            <w:pPr>
              <w:pStyle w:val="12"/>
            </w:pPr>
          </w:p>
        </w:tc>
        <w:tc>
          <w:tcPr>
            <w:tcW w:w="2268" w:type="dxa"/>
            <w:vAlign w:val="center"/>
          </w:tcPr>
          <w:p>
            <w:pPr>
              <w:pStyle w:val="12"/>
            </w:pPr>
            <w:r>
              <w:t>≥95%</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培训参训率</w:t>
            </w:r>
          </w:p>
        </w:tc>
        <w:tc>
          <w:tcPr>
            <w:tcW w:w="5386" w:type="dxa"/>
            <w:vAlign w:val="center"/>
          </w:tcPr>
          <w:p>
            <w:pPr>
              <w:pStyle w:val="12"/>
            </w:pPr>
            <w:r>
              <w:t>培训参训率</w:t>
            </w:r>
          </w:p>
        </w:tc>
        <w:tc>
          <w:tcPr>
            <w:tcW w:w="2268" w:type="dxa"/>
            <w:vAlign w:val="center"/>
          </w:tcPr>
          <w:p>
            <w:pPr>
              <w:pStyle w:val="12"/>
            </w:pPr>
            <w:r>
              <w:t>≥95%</w:t>
            </w:r>
          </w:p>
        </w:tc>
        <w:tc>
          <w:tcPr>
            <w:tcW w:w="1276"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培训完成时间</w:t>
            </w:r>
          </w:p>
        </w:tc>
        <w:tc>
          <w:tcPr>
            <w:tcW w:w="5386" w:type="dxa"/>
            <w:vAlign w:val="center"/>
          </w:tcPr>
          <w:p>
            <w:pPr>
              <w:pStyle w:val="12"/>
            </w:pPr>
            <w:r>
              <w:t>培训完成时间</w:t>
            </w: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采购工作完成时间</w:t>
            </w:r>
          </w:p>
        </w:tc>
        <w:tc>
          <w:tcPr>
            <w:tcW w:w="5386" w:type="dxa"/>
            <w:vAlign w:val="center"/>
          </w:tcPr>
          <w:p>
            <w:pPr>
              <w:pStyle w:val="12"/>
            </w:pPr>
            <w:r>
              <w:t>采购工作完成时间</w:t>
            </w: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应急预案管理及演练支出</w:t>
            </w:r>
          </w:p>
        </w:tc>
        <w:tc>
          <w:tcPr>
            <w:tcW w:w="5386" w:type="dxa"/>
            <w:vAlign w:val="center"/>
          </w:tcPr>
          <w:p>
            <w:pPr>
              <w:pStyle w:val="12"/>
            </w:pPr>
            <w:r>
              <w:t>应急预案管理及演练支出</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应急物资装备购置及其他支出</w:t>
            </w:r>
          </w:p>
        </w:tc>
        <w:tc>
          <w:tcPr>
            <w:tcW w:w="5386" w:type="dxa"/>
            <w:vAlign w:val="center"/>
          </w:tcPr>
          <w:p>
            <w:pPr>
              <w:pStyle w:val="12"/>
            </w:pPr>
            <w:r>
              <w:t>应急物资装备购置及其他支出</w:t>
            </w:r>
          </w:p>
        </w:tc>
        <w:tc>
          <w:tcPr>
            <w:tcW w:w="2268" w:type="dxa"/>
            <w:vAlign w:val="center"/>
          </w:tcPr>
          <w:p>
            <w:pPr>
              <w:pStyle w:val="12"/>
            </w:pPr>
            <w:r>
              <w:t>≤6万元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提高应急救援能力</w:t>
            </w:r>
          </w:p>
          <w:p>
            <w:pPr>
              <w:pStyle w:val="12"/>
            </w:pPr>
          </w:p>
        </w:tc>
        <w:tc>
          <w:tcPr>
            <w:tcW w:w="5386" w:type="dxa"/>
            <w:vAlign w:val="center"/>
          </w:tcPr>
          <w:p>
            <w:pPr>
              <w:pStyle w:val="12"/>
            </w:pPr>
            <w:r>
              <w:t>有效的开展救援工作，演练结束后所有参训人员均具备相应胜任能力。更好的保障人民的生命和财产安全。</w:t>
            </w:r>
          </w:p>
          <w:p>
            <w:pPr>
              <w:pStyle w:val="12"/>
            </w:pPr>
          </w:p>
        </w:tc>
        <w:tc>
          <w:tcPr>
            <w:tcW w:w="2268" w:type="dxa"/>
            <w:vAlign w:val="center"/>
          </w:tcPr>
          <w:p>
            <w:pPr>
              <w:pStyle w:val="12"/>
            </w:pPr>
            <w:r>
              <w:t>较上年提升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12、应急救灾物资储备绩效目标表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13031124P004687121036</w:t>
            </w:r>
          </w:p>
        </w:tc>
        <w:tc>
          <w:tcPr>
            <w:tcW w:w="2835" w:type="dxa"/>
            <w:vAlign w:val="center"/>
          </w:tcPr>
          <w:p>
            <w:pPr>
              <w:pStyle w:val="10"/>
            </w:pPr>
            <w:r>
              <w:t>项目名称</w:t>
            </w:r>
          </w:p>
        </w:tc>
        <w:tc>
          <w:tcPr>
            <w:tcW w:w="6094" w:type="dxa"/>
            <w:gridSpan w:val="3"/>
            <w:vAlign w:val="center"/>
          </w:tcPr>
          <w:p>
            <w:pPr>
              <w:pStyle w:val="12"/>
            </w:pPr>
            <w:r>
              <w:t>应急救灾物资储备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增加储备：棉被、棉褥、棉大衣、救生艇应急照明灯等应急装备10万元。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1.完成应急救灾物资采购</w:t>
            </w:r>
          </w:p>
          <w:p>
            <w:pPr>
              <w:pStyle w:val="12"/>
            </w:pPr>
            <w:r>
              <w:t>2.物资储备达到2000人应急转移所需</w:t>
            </w:r>
          </w:p>
          <w:p>
            <w:pPr>
              <w:pStyle w:val="12"/>
            </w:pPr>
            <w:r>
              <w:t>3.提升应急物资规范化管理程度</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棉被棉褥采购数量</w:t>
            </w:r>
          </w:p>
        </w:tc>
        <w:tc>
          <w:tcPr>
            <w:tcW w:w="5386" w:type="dxa"/>
            <w:vAlign w:val="center"/>
          </w:tcPr>
          <w:p>
            <w:pPr>
              <w:pStyle w:val="12"/>
            </w:pPr>
            <w:r>
              <w:t>棉被棉褥采购数量</w:t>
            </w:r>
          </w:p>
        </w:tc>
        <w:tc>
          <w:tcPr>
            <w:tcW w:w="2268" w:type="dxa"/>
            <w:vAlign w:val="center"/>
          </w:tcPr>
          <w:p>
            <w:pPr>
              <w:pStyle w:val="12"/>
            </w:pPr>
            <w:r>
              <w:t>≥200条</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棉大衣采购数量</w:t>
            </w:r>
          </w:p>
        </w:tc>
        <w:tc>
          <w:tcPr>
            <w:tcW w:w="5386" w:type="dxa"/>
            <w:vAlign w:val="center"/>
          </w:tcPr>
          <w:p>
            <w:pPr>
              <w:pStyle w:val="12"/>
            </w:pPr>
            <w:r>
              <w:t>棉大衣采购数量</w:t>
            </w:r>
          </w:p>
        </w:tc>
        <w:tc>
          <w:tcPr>
            <w:tcW w:w="2268" w:type="dxa"/>
            <w:vAlign w:val="center"/>
          </w:tcPr>
          <w:p>
            <w:pPr>
              <w:pStyle w:val="12"/>
            </w:pPr>
            <w:r>
              <w:t>≥150件</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救生衣采购数量</w:t>
            </w:r>
          </w:p>
        </w:tc>
        <w:tc>
          <w:tcPr>
            <w:tcW w:w="5386" w:type="dxa"/>
            <w:vAlign w:val="center"/>
          </w:tcPr>
          <w:p>
            <w:pPr>
              <w:pStyle w:val="12"/>
            </w:pPr>
            <w:r>
              <w:t>救生衣采购数量</w:t>
            </w:r>
          </w:p>
        </w:tc>
        <w:tc>
          <w:tcPr>
            <w:tcW w:w="2268" w:type="dxa"/>
            <w:vAlign w:val="center"/>
          </w:tcPr>
          <w:p>
            <w:pPr>
              <w:pStyle w:val="12"/>
            </w:pPr>
            <w:r>
              <w:t>≥100个</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p>
            <w:pPr>
              <w:pStyle w:val="12"/>
            </w:pPr>
          </w:p>
        </w:tc>
        <w:tc>
          <w:tcPr>
            <w:tcW w:w="5386" w:type="dxa"/>
            <w:vAlign w:val="center"/>
          </w:tcPr>
          <w:p>
            <w:pPr>
              <w:pStyle w:val="12"/>
            </w:pPr>
            <w:r>
              <w:t>验收合格率=验收合格数量／总数量＊１００％</w:t>
            </w:r>
          </w:p>
          <w:p>
            <w:pPr>
              <w:pStyle w:val="12"/>
            </w:pPr>
          </w:p>
        </w:tc>
        <w:tc>
          <w:tcPr>
            <w:tcW w:w="2268" w:type="dxa"/>
            <w:vAlign w:val="center"/>
          </w:tcPr>
          <w:p>
            <w:pPr>
              <w:pStyle w:val="12"/>
            </w:pPr>
            <w:r>
              <w:t>≥95%</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对工作完成情况的考核</w:t>
            </w:r>
          </w:p>
        </w:tc>
        <w:tc>
          <w:tcPr>
            <w:tcW w:w="5386" w:type="dxa"/>
            <w:vAlign w:val="center"/>
          </w:tcPr>
          <w:p>
            <w:pPr>
              <w:pStyle w:val="12"/>
            </w:pPr>
            <w:r>
              <w:t>工作完成时间</w:t>
            </w:r>
          </w:p>
        </w:tc>
        <w:tc>
          <w:tcPr>
            <w:tcW w:w="2268" w:type="dxa"/>
            <w:vAlign w:val="center"/>
          </w:tcPr>
          <w:p>
            <w:pPr>
              <w:pStyle w:val="12"/>
            </w:pPr>
            <w:r>
              <w:t>2024年12月底前</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物资采购人均成本</w:t>
            </w:r>
          </w:p>
        </w:tc>
        <w:tc>
          <w:tcPr>
            <w:tcW w:w="5386" w:type="dxa"/>
            <w:vAlign w:val="center"/>
          </w:tcPr>
          <w:p>
            <w:pPr>
              <w:pStyle w:val="12"/>
            </w:pPr>
            <w:r>
              <w:t>物资采购人均成本</w:t>
            </w:r>
          </w:p>
        </w:tc>
        <w:tc>
          <w:tcPr>
            <w:tcW w:w="2268" w:type="dxa"/>
            <w:vAlign w:val="center"/>
          </w:tcPr>
          <w:p>
            <w:pPr>
              <w:pStyle w:val="12"/>
            </w:pPr>
            <w:r>
              <w:t>≤50元/人</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物资储备保障人数</w:t>
            </w:r>
          </w:p>
        </w:tc>
        <w:tc>
          <w:tcPr>
            <w:tcW w:w="5386" w:type="dxa"/>
            <w:vAlign w:val="center"/>
          </w:tcPr>
          <w:p>
            <w:pPr>
              <w:pStyle w:val="12"/>
            </w:pPr>
            <w:r>
              <w:t>物资储备保障人数</w:t>
            </w:r>
          </w:p>
        </w:tc>
        <w:tc>
          <w:tcPr>
            <w:tcW w:w="2268" w:type="dxa"/>
            <w:vAlign w:val="center"/>
          </w:tcPr>
          <w:p>
            <w:pPr>
              <w:pStyle w:val="12"/>
            </w:pPr>
            <w:r>
              <w:t>≥2000人</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提升应急物资规范化管理程度</w:t>
            </w:r>
          </w:p>
          <w:p>
            <w:pPr>
              <w:pStyle w:val="12"/>
            </w:pPr>
          </w:p>
        </w:tc>
        <w:tc>
          <w:tcPr>
            <w:tcW w:w="5386" w:type="dxa"/>
            <w:vAlign w:val="center"/>
          </w:tcPr>
          <w:p>
            <w:pPr>
              <w:pStyle w:val="12"/>
            </w:pPr>
            <w:r>
              <w:t>提升应急物资规范化管理程度，提升应急物资救援能力</w:t>
            </w:r>
          </w:p>
          <w:p>
            <w:pPr>
              <w:pStyle w:val="12"/>
            </w:pPr>
          </w:p>
          <w:p>
            <w:pPr>
              <w:pStyle w:val="12"/>
            </w:pPr>
          </w:p>
        </w:tc>
        <w:tc>
          <w:tcPr>
            <w:tcW w:w="2268" w:type="dxa"/>
            <w:vAlign w:val="center"/>
          </w:tcPr>
          <w:p>
            <w:pPr>
              <w:pStyle w:val="12"/>
            </w:pPr>
            <w:r>
              <w:t>较上年提升</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保障人员满意度</w:t>
            </w:r>
          </w:p>
        </w:tc>
        <w:tc>
          <w:tcPr>
            <w:tcW w:w="5386" w:type="dxa"/>
            <w:vAlign w:val="center"/>
          </w:tcPr>
          <w:p>
            <w:pPr>
              <w:pStyle w:val="12"/>
            </w:pPr>
            <w:r>
              <w:t>保障人员满意度</w:t>
            </w:r>
          </w:p>
        </w:tc>
        <w:tc>
          <w:tcPr>
            <w:tcW w:w="2268" w:type="dxa"/>
            <w:vAlign w:val="center"/>
          </w:tcPr>
          <w:p>
            <w:pPr>
              <w:pStyle w:val="12"/>
            </w:pPr>
            <w:r>
              <w:t>≥90%</w:t>
            </w:r>
          </w:p>
        </w:tc>
        <w:tc>
          <w:tcPr>
            <w:tcW w:w="1276" w:type="dxa"/>
            <w:vAlign w:val="center"/>
          </w:tcPr>
          <w:p>
            <w:pPr>
              <w:pStyle w:val="12"/>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13、政策性农房保险补助资金绩效目标表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13031124P00468712104R</w:t>
            </w:r>
          </w:p>
        </w:tc>
        <w:tc>
          <w:tcPr>
            <w:tcW w:w="2835" w:type="dxa"/>
            <w:vAlign w:val="center"/>
          </w:tcPr>
          <w:p>
            <w:pPr>
              <w:pStyle w:val="10"/>
            </w:pPr>
            <w:r>
              <w:t>项目名称</w:t>
            </w:r>
          </w:p>
        </w:tc>
        <w:tc>
          <w:tcPr>
            <w:tcW w:w="6094" w:type="dxa"/>
            <w:gridSpan w:val="3"/>
            <w:vAlign w:val="center"/>
          </w:tcPr>
          <w:p>
            <w:pPr>
              <w:pStyle w:val="12"/>
            </w:pPr>
            <w:r>
              <w:t>政策性农房保险补助资金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2.92</w:t>
            </w:r>
          </w:p>
        </w:tc>
        <w:tc>
          <w:tcPr>
            <w:tcW w:w="2835" w:type="dxa"/>
            <w:vAlign w:val="center"/>
          </w:tcPr>
          <w:p>
            <w:pPr>
              <w:pStyle w:val="10"/>
            </w:pPr>
            <w:r>
              <w:t>其中：财政    资金</w:t>
            </w:r>
          </w:p>
        </w:tc>
        <w:tc>
          <w:tcPr>
            <w:tcW w:w="2551" w:type="dxa"/>
            <w:vAlign w:val="center"/>
          </w:tcPr>
          <w:p>
            <w:pPr>
              <w:pStyle w:val="12"/>
            </w:pPr>
            <w:r>
              <w:t>2.92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用于组织开展政策性农房保险工作。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1.增强全区14600户农村住房、财产及人身安全，提高受灾群众抵御自然灾害和意外事故风险的能力。</w:t>
            </w:r>
          </w:p>
          <w:p>
            <w:pPr>
              <w:pStyle w:val="12"/>
            </w:pPr>
            <w:r>
              <w:t>2.构建新型农民群众灾害救助体系，创新救助机制。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参保数量</w:t>
            </w:r>
          </w:p>
        </w:tc>
        <w:tc>
          <w:tcPr>
            <w:tcW w:w="5386" w:type="dxa"/>
            <w:vAlign w:val="center"/>
          </w:tcPr>
          <w:p>
            <w:pPr>
              <w:pStyle w:val="12"/>
            </w:pPr>
            <w:r>
              <w:t>参保数量</w:t>
            </w:r>
          </w:p>
        </w:tc>
        <w:tc>
          <w:tcPr>
            <w:tcW w:w="2268" w:type="dxa"/>
            <w:vAlign w:val="center"/>
          </w:tcPr>
          <w:p>
            <w:pPr>
              <w:pStyle w:val="12"/>
            </w:pPr>
            <w:r>
              <w:t>≥14600户</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收集数据有效率</w:t>
            </w:r>
          </w:p>
        </w:tc>
        <w:tc>
          <w:tcPr>
            <w:tcW w:w="5386" w:type="dxa"/>
            <w:vAlign w:val="center"/>
          </w:tcPr>
          <w:p>
            <w:pPr>
              <w:pStyle w:val="12"/>
            </w:pPr>
            <w:r>
              <w:t>收集的有关开发区涉及参保农房14600户的相关数据</w:t>
            </w:r>
          </w:p>
        </w:tc>
        <w:tc>
          <w:tcPr>
            <w:tcW w:w="2268" w:type="dxa"/>
            <w:vAlign w:val="center"/>
          </w:tcPr>
          <w:p>
            <w:pPr>
              <w:pStyle w:val="12"/>
            </w:pPr>
            <w:r>
              <w:t>≥90%</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2024年7月</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ab/>
            </w:r>
            <w:r>
              <w:t xml:space="preserve"> 预算控制数</w:t>
            </w:r>
          </w:p>
        </w:tc>
        <w:tc>
          <w:tcPr>
            <w:tcW w:w="5386" w:type="dxa"/>
            <w:vAlign w:val="center"/>
          </w:tcPr>
          <w:p>
            <w:pPr>
              <w:pStyle w:val="12"/>
            </w:pPr>
            <w:r>
              <w:t>费用预算控制额</w:t>
            </w:r>
          </w:p>
        </w:tc>
        <w:tc>
          <w:tcPr>
            <w:tcW w:w="2268" w:type="dxa"/>
            <w:vAlign w:val="center"/>
          </w:tcPr>
          <w:p>
            <w:pPr>
              <w:pStyle w:val="12"/>
            </w:pPr>
            <w:r>
              <w:t>≤2元/人</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进一步拓宽灾害救助渠道</w:t>
            </w:r>
          </w:p>
        </w:tc>
        <w:tc>
          <w:tcPr>
            <w:tcW w:w="5386" w:type="dxa"/>
            <w:vAlign w:val="center"/>
          </w:tcPr>
          <w:p>
            <w:pPr>
              <w:pStyle w:val="12"/>
            </w:pPr>
            <w:r>
              <w:t>评价项目通过全面推行政策性农房保险工作在拓宽灾害救助渠道方面的效益</w:t>
            </w:r>
          </w:p>
        </w:tc>
        <w:tc>
          <w:tcPr>
            <w:tcW w:w="2268" w:type="dxa"/>
            <w:vAlign w:val="center"/>
          </w:tcPr>
          <w:p>
            <w:pPr>
              <w:pStyle w:val="12"/>
            </w:pPr>
            <w:r>
              <w:t>比上年提高</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农房保险群众满意度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14、自然灾害生活救助资金绩效目标表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13031124P00468712102J</w:t>
            </w:r>
          </w:p>
        </w:tc>
        <w:tc>
          <w:tcPr>
            <w:tcW w:w="2835" w:type="dxa"/>
            <w:vAlign w:val="center"/>
          </w:tcPr>
          <w:p>
            <w:pPr>
              <w:pStyle w:val="10"/>
            </w:pPr>
            <w:r>
              <w:t>项目名称</w:t>
            </w:r>
          </w:p>
        </w:tc>
        <w:tc>
          <w:tcPr>
            <w:tcW w:w="6094" w:type="dxa"/>
            <w:gridSpan w:val="3"/>
            <w:vAlign w:val="center"/>
          </w:tcPr>
          <w:p>
            <w:pPr>
              <w:pStyle w:val="12"/>
            </w:pPr>
            <w:r>
              <w:t>自然灾害生活救助资金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申请自然灾害生活救助准备金，用于发生自然灾害时，对受灾人进行生活救助。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1.发生自然灾害时，对受灾人进行生活救助</w:t>
            </w:r>
          </w:p>
          <w:p>
            <w:pPr>
              <w:pStyle w:val="12"/>
            </w:pPr>
            <w:r>
              <w:t>2.保障灾后紧急抢救和转移安置受灾群众</w:t>
            </w:r>
          </w:p>
          <w:p>
            <w:pPr>
              <w:pStyle w:val="12"/>
            </w:pPr>
            <w:r>
              <w:t>3.应救助人员受助比例≥80%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受灾人员统计完成率</w:t>
            </w:r>
          </w:p>
        </w:tc>
        <w:tc>
          <w:tcPr>
            <w:tcW w:w="5386" w:type="dxa"/>
            <w:vAlign w:val="center"/>
          </w:tcPr>
          <w:p>
            <w:pPr>
              <w:pStyle w:val="12"/>
            </w:pPr>
            <w:r>
              <w:t>受灾人员统计完成率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应救助人员受助比例</w:t>
            </w:r>
          </w:p>
        </w:tc>
        <w:tc>
          <w:tcPr>
            <w:tcW w:w="5386" w:type="dxa"/>
            <w:vAlign w:val="center"/>
          </w:tcPr>
          <w:p>
            <w:pPr>
              <w:pStyle w:val="12"/>
            </w:pPr>
            <w:r>
              <w:t>应救助人员受助比例</w:t>
            </w:r>
          </w:p>
        </w:tc>
        <w:tc>
          <w:tcPr>
            <w:tcW w:w="2268" w:type="dxa"/>
            <w:vAlign w:val="center"/>
          </w:tcPr>
          <w:p>
            <w:pPr>
              <w:pStyle w:val="12"/>
            </w:pPr>
            <w:r>
              <w:t>≥80%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提供基本生活救助时间</w:t>
            </w:r>
          </w:p>
        </w:tc>
        <w:tc>
          <w:tcPr>
            <w:tcW w:w="5386" w:type="dxa"/>
            <w:vAlign w:val="center"/>
          </w:tcPr>
          <w:p>
            <w:pPr>
              <w:pStyle w:val="12"/>
            </w:pPr>
            <w:r>
              <w:t>提供基本生活救助时间</w:t>
            </w:r>
          </w:p>
        </w:tc>
        <w:tc>
          <w:tcPr>
            <w:tcW w:w="2268" w:type="dxa"/>
            <w:vAlign w:val="center"/>
          </w:tcPr>
          <w:p>
            <w:pPr>
              <w:pStyle w:val="12"/>
            </w:pPr>
            <w:r>
              <w:t>受灾当年冬季之前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ab/>
            </w:r>
            <w:r>
              <w:t xml:space="preserve"> 预算控制数</w:t>
            </w:r>
          </w:p>
        </w:tc>
        <w:tc>
          <w:tcPr>
            <w:tcW w:w="5386" w:type="dxa"/>
            <w:vAlign w:val="center"/>
          </w:tcPr>
          <w:p>
            <w:pPr>
              <w:pStyle w:val="12"/>
            </w:pPr>
            <w:r>
              <w:t>费用预算控制额</w:t>
            </w:r>
          </w:p>
        </w:tc>
        <w:tc>
          <w:tcPr>
            <w:tcW w:w="2268" w:type="dxa"/>
            <w:vAlign w:val="center"/>
          </w:tcPr>
          <w:p>
            <w:pPr>
              <w:pStyle w:val="12"/>
            </w:pPr>
            <w:r>
              <w:t>≤1万元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用于自然灾害生活救助补助</w:t>
            </w:r>
          </w:p>
        </w:tc>
        <w:tc>
          <w:tcPr>
            <w:tcW w:w="5386" w:type="dxa"/>
            <w:vAlign w:val="center"/>
          </w:tcPr>
          <w:p>
            <w:pPr>
              <w:pStyle w:val="12"/>
            </w:pPr>
            <w:r>
              <w:t>发生自然灾害时，对受灾人进行生活救助</w:t>
            </w:r>
          </w:p>
        </w:tc>
        <w:tc>
          <w:tcPr>
            <w:tcW w:w="2268" w:type="dxa"/>
            <w:vAlign w:val="center"/>
          </w:tcPr>
          <w:p>
            <w:pPr>
              <w:pStyle w:val="12"/>
            </w:pPr>
            <w:r>
              <w:t>比上年提高</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救助受灾群众满意度</w:t>
            </w:r>
          </w:p>
        </w:tc>
        <w:tc>
          <w:tcPr>
            <w:tcW w:w="5386" w:type="dxa"/>
            <w:vAlign w:val="center"/>
          </w:tcPr>
          <w:p>
            <w:pPr>
              <w:pStyle w:val="12"/>
            </w:pPr>
            <w:r>
              <w:t>救助受灾群众满意度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15、作业场所视频监控系统建设经费绩效目标表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13031124P00468712101Y</w:t>
            </w:r>
          </w:p>
        </w:tc>
        <w:tc>
          <w:tcPr>
            <w:tcW w:w="2835" w:type="dxa"/>
            <w:vAlign w:val="center"/>
          </w:tcPr>
          <w:p>
            <w:pPr>
              <w:pStyle w:val="10"/>
            </w:pPr>
            <w:r>
              <w:t>项目名称</w:t>
            </w:r>
          </w:p>
        </w:tc>
        <w:tc>
          <w:tcPr>
            <w:tcW w:w="6094" w:type="dxa"/>
            <w:gridSpan w:val="3"/>
            <w:vAlign w:val="center"/>
          </w:tcPr>
          <w:p>
            <w:pPr>
              <w:pStyle w:val="12"/>
            </w:pPr>
            <w:r>
              <w:t>作业场所视频监控系统建设经费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2024年需租用通讯线路、对系统进行维护、视频云储存服务项目，共计50万元。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1.通过保障视频监控平台线路运行正常，达到有效监管安全生产的效果。</w:t>
            </w:r>
          </w:p>
          <w:p>
            <w:pPr>
              <w:pStyle w:val="12"/>
            </w:pPr>
            <w:r>
              <w:t>2.视频监控平台线路运行数量≥1300路，保障平台运行稳定，做到全方位监管。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视频监控平台线路运行数量</w:t>
            </w:r>
          </w:p>
        </w:tc>
        <w:tc>
          <w:tcPr>
            <w:tcW w:w="5386" w:type="dxa"/>
            <w:vAlign w:val="center"/>
          </w:tcPr>
          <w:p>
            <w:pPr>
              <w:pStyle w:val="12"/>
            </w:pPr>
            <w:r>
              <w:t>视频监控平台线路运行数量</w:t>
            </w:r>
          </w:p>
        </w:tc>
        <w:tc>
          <w:tcPr>
            <w:tcW w:w="2268" w:type="dxa"/>
            <w:vAlign w:val="center"/>
          </w:tcPr>
          <w:p>
            <w:pPr>
              <w:pStyle w:val="12"/>
            </w:pPr>
            <w:r>
              <w:t>≥1300路</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p>
            <w:pPr>
              <w:pStyle w:val="12"/>
            </w:pPr>
          </w:p>
        </w:tc>
        <w:tc>
          <w:tcPr>
            <w:tcW w:w="5386" w:type="dxa"/>
            <w:vAlign w:val="center"/>
          </w:tcPr>
          <w:p>
            <w:pPr>
              <w:pStyle w:val="12"/>
            </w:pPr>
            <w:r>
              <w:t>验收合格率=验收合格数量／总数量＊１００％</w:t>
            </w:r>
          </w:p>
          <w:p>
            <w:pPr>
              <w:pStyle w:val="12"/>
            </w:pPr>
          </w:p>
        </w:tc>
        <w:tc>
          <w:tcPr>
            <w:tcW w:w="2268" w:type="dxa"/>
            <w:vAlign w:val="center"/>
          </w:tcPr>
          <w:p>
            <w:pPr>
              <w:pStyle w:val="12"/>
            </w:pPr>
            <w:r>
              <w:t>≥95%</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工作完成时间</w:t>
            </w:r>
          </w:p>
        </w:tc>
        <w:tc>
          <w:tcPr>
            <w:tcW w:w="2268" w:type="dxa"/>
            <w:vAlign w:val="center"/>
          </w:tcPr>
          <w:p>
            <w:pPr>
              <w:pStyle w:val="12"/>
            </w:pPr>
            <w:r>
              <w:t>2023年12月底前</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视频监控平台线路租金</w:t>
            </w:r>
          </w:p>
        </w:tc>
        <w:tc>
          <w:tcPr>
            <w:tcW w:w="5386" w:type="dxa"/>
            <w:vAlign w:val="center"/>
          </w:tcPr>
          <w:p>
            <w:pPr>
              <w:pStyle w:val="12"/>
            </w:pPr>
            <w:r>
              <w:t xml:space="preserve">视频监控平台线路租金≤34.32 </w:t>
            </w:r>
          </w:p>
        </w:tc>
        <w:tc>
          <w:tcPr>
            <w:tcW w:w="2268" w:type="dxa"/>
            <w:vAlign w:val="center"/>
          </w:tcPr>
          <w:p>
            <w:pPr>
              <w:pStyle w:val="12"/>
            </w:pPr>
            <w:r>
              <w:t>≤34.32万元</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视频云储存服务支出</w:t>
            </w:r>
          </w:p>
        </w:tc>
        <w:tc>
          <w:tcPr>
            <w:tcW w:w="5386" w:type="dxa"/>
            <w:vAlign w:val="center"/>
          </w:tcPr>
          <w:p>
            <w:pPr>
              <w:pStyle w:val="12"/>
            </w:pPr>
            <w:r>
              <w:t>视频云储存服务支出≤15.68</w:t>
            </w:r>
          </w:p>
        </w:tc>
        <w:tc>
          <w:tcPr>
            <w:tcW w:w="2268" w:type="dxa"/>
            <w:vAlign w:val="center"/>
          </w:tcPr>
          <w:p>
            <w:pPr>
              <w:pStyle w:val="12"/>
            </w:pPr>
            <w:r>
              <w:t>≤15.68万元</w:t>
            </w:r>
          </w:p>
        </w:tc>
        <w:tc>
          <w:tcPr>
            <w:tcW w:w="1276" w:type="dxa"/>
            <w:vAlign w:val="center"/>
          </w:tcPr>
          <w:p>
            <w:pPr>
              <w:pStyle w:val="12"/>
            </w:pPr>
            <w:r>
              <w:t>合同、实际付款金额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维护视频监控平台平稳运行，有效监管企业安全生产</w:t>
            </w:r>
          </w:p>
        </w:tc>
        <w:tc>
          <w:tcPr>
            <w:tcW w:w="5386" w:type="dxa"/>
            <w:vAlign w:val="center"/>
          </w:tcPr>
          <w:p>
            <w:pPr>
              <w:pStyle w:val="12"/>
            </w:pPr>
            <w:r>
              <w:t>维护视频监控平台平稳运行，有效监管企业安全生产</w:t>
            </w:r>
          </w:p>
        </w:tc>
        <w:tc>
          <w:tcPr>
            <w:tcW w:w="2268" w:type="dxa"/>
            <w:vAlign w:val="center"/>
          </w:tcPr>
          <w:p>
            <w:pPr>
              <w:pStyle w:val="12"/>
            </w:pPr>
            <w:r>
              <w:t>较上年提升</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5386" w:type="dxa"/>
            <w:vAlign w:val="center"/>
          </w:tcPr>
          <w:p>
            <w:pPr>
              <w:pStyle w:val="12"/>
            </w:pPr>
            <w:r>
              <w:t>用户满意度</w:t>
            </w:r>
          </w:p>
        </w:tc>
        <w:tc>
          <w:tcPr>
            <w:tcW w:w="2268" w:type="dxa"/>
            <w:vAlign w:val="center"/>
          </w:tcPr>
          <w:p>
            <w:pPr>
              <w:pStyle w:val="12"/>
            </w:pPr>
            <w:r>
              <w:t>≥90%</w:t>
            </w:r>
          </w:p>
        </w:tc>
        <w:tc>
          <w:tcPr>
            <w:tcW w:w="1276" w:type="dxa"/>
            <w:vAlign w:val="center"/>
          </w:tcPr>
          <w:p>
            <w:pPr>
              <w:pStyle w:val="12"/>
            </w:pPr>
            <w:r>
              <w:t>实际完成情况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秦皇岛经济技术开发区工信和应急管理局(本级)小计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作业场所视频监控系统建设经费</w:t>
            </w:r>
          </w:p>
        </w:tc>
        <w:tc>
          <w:tcPr>
            <w:tcW w:w="964" w:type="dxa"/>
            <w:vAlign w:val="center"/>
          </w:tcPr>
          <w:p>
            <w:pPr>
              <w:pStyle w:val="11"/>
            </w:pPr>
            <w:r>
              <w:t>50.00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秦皇岛经济技术开发区工信和应急管理局(本级)上年末固定资产金额为</w:t>
      </w:r>
      <w:r>
        <w:rPr>
          <w:rFonts w:hint="eastAsia" w:eastAsia="方正仿宋_GBK" w:cs="Times New Roman"/>
          <w:b w:val="0"/>
          <w:color w:val="000000"/>
          <w:sz w:val="28"/>
          <w:lang w:val="en-US" w:eastAsia="zh-CN"/>
        </w:rPr>
        <w:t>191.1512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426001秦皇岛经济技术开发区工信和应急管理局(本级)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191.1512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rPr>
                <w:rFonts w:hint="default" w:eastAsia="方正书宋_GBK"/>
                <w:lang w:val="en-US" w:eastAsia="zh-CN"/>
              </w:rPr>
            </w:pPr>
            <w:r>
              <w:rPr>
                <w:rFonts w:hint="eastAsia"/>
                <w:lang w:val="en-US" w:eastAsia="zh-CN"/>
              </w:rPr>
              <w:t>54.9877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461</w:t>
            </w:r>
          </w:p>
        </w:tc>
        <w:tc>
          <w:tcPr>
            <w:tcW w:w="2835" w:type="dxa"/>
            <w:vAlign w:val="center"/>
          </w:tcPr>
          <w:p>
            <w:pPr>
              <w:pStyle w:val="11"/>
            </w:pPr>
            <w:r>
              <w:t>136</w:t>
            </w:r>
            <w:r>
              <w:rPr>
                <w:rFonts w:hint="eastAsia"/>
                <w:lang w:val="en-US" w:eastAsia="zh-CN"/>
              </w:rPr>
              <w:t>.</w:t>
            </w:r>
            <w:r>
              <w:t>1724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二、秦皇岛经济技术开发区安全生产监察大队收支预算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175.72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118.66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175.72</w:t>
            </w:r>
          </w:p>
        </w:tc>
        <w:tc>
          <w:tcPr>
            <w:tcW w:w="4535" w:type="dxa"/>
            <w:vAlign w:val="center"/>
          </w:tcPr>
          <w:p>
            <w:pPr>
              <w:pStyle w:val="14"/>
            </w:pPr>
            <w:r>
              <w:t>本年支出合计</w:t>
            </w:r>
          </w:p>
        </w:tc>
        <w:tc>
          <w:tcPr>
            <w:tcW w:w="2126" w:type="dxa"/>
            <w:vAlign w:val="center"/>
          </w:tcPr>
          <w:p>
            <w:pPr>
              <w:pStyle w:val="15"/>
            </w:pPr>
            <w:r>
              <w:t>175.72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175.72</w:t>
            </w:r>
          </w:p>
        </w:tc>
        <w:tc>
          <w:tcPr>
            <w:tcW w:w="4535" w:type="dxa"/>
            <w:vAlign w:val="center"/>
          </w:tcPr>
          <w:p>
            <w:pPr>
              <w:pStyle w:val="14"/>
            </w:pPr>
            <w:r>
              <w:t>支出总计</w:t>
            </w:r>
          </w:p>
        </w:tc>
        <w:tc>
          <w:tcPr>
            <w:tcW w:w="2126" w:type="dxa"/>
            <w:vAlign w:val="center"/>
          </w:tcPr>
          <w:p>
            <w:pPr>
              <w:pStyle w:val="15"/>
            </w:pPr>
            <w:r>
              <w:t>175.72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175.72</w:t>
            </w:r>
          </w:p>
        </w:tc>
        <w:tc>
          <w:tcPr>
            <w:tcW w:w="1134" w:type="dxa"/>
            <w:vAlign w:val="center"/>
          </w:tcPr>
          <w:p>
            <w:pPr>
              <w:pStyle w:val="15"/>
            </w:pPr>
            <w:r>
              <w:t>175.72</w:t>
            </w:r>
          </w:p>
        </w:tc>
        <w:tc>
          <w:tcPr>
            <w:tcW w:w="1134" w:type="dxa"/>
            <w:vAlign w:val="center"/>
          </w:tcPr>
          <w:p>
            <w:pPr>
              <w:pStyle w:val="15"/>
            </w:pPr>
            <w:r>
              <w:t>175.72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31.70</w:t>
            </w:r>
          </w:p>
        </w:tc>
        <w:tc>
          <w:tcPr>
            <w:tcW w:w="1134" w:type="dxa"/>
            <w:vAlign w:val="center"/>
          </w:tcPr>
          <w:p>
            <w:pPr>
              <w:pStyle w:val="11"/>
            </w:pPr>
            <w:r>
              <w:t>31.70</w:t>
            </w:r>
          </w:p>
        </w:tc>
        <w:tc>
          <w:tcPr>
            <w:tcW w:w="1134" w:type="dxa"/>
            <w:vAlign w:val="center"/>
          </w:tcPr>
          <w:p>
            <w:pPr>
              <w:pStyle w:val="11"/>
            </w:pPr>
            <w:r>
              <w:t>31.70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31.70</w:t>
            </w:r>
          </w:p>
        </w:tc>
        <w:tc>
          <w:tcPr>
            <w:tcW w:w="1134" w:type="dxa"/>
            <w:vAlign w:val="center"/>
          </w:tcPr>
          <w:p>
            <w:pPr>
              <w:pStyle w:val="11"/>
            </w:pPr>
            <w:r>
              <w:t>31.70</w:t>
            </w:r>
          </w:p>
        </w:tc>
        <w:tc>
          <w:tcPr>
            <w:tcW w:w="1134" w:type="dxa"/>
            <w:vAlign w:val="center"/>
          </w:tcPr>
          <w:p>
            <w:pPr>
              <w:pStyle w:val="11"/>
            </w:pPr>
            <w:r>
              <w:t>31.70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15.90</w:t>
            </w:r>
          </w:p>
        </w:tc>
        <w:tc>
          <w:tcPr>
            <w:tcW w:w="1134" w:type="dxa"/>
            <w:vAlign w:val="center"/>
          </w:tcPr>
          <w:p>
            <w:pPr>
              <w:pStyle w:val="11"/>
            </w:pPr>
            <w:r>
              <w:t>15.90</w:t>
            </w:r>
          </w:p>
        </w:tc>
        <w:tc>
          <w:tcPr>
            <w:tcW w:w="1134" w:type="dxa"/>
            <w:vAlign w:val="center"/>
          </w:tcPr>
          <w:p>
            <w:pPr>
              <w:pStyle w:val="11"/>
            </w:pPr>
            <w:r>
              <w:t>15.90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10.95</w:t>
            </w:r>
          </w:p>
        </w:tc>
        <w:tc>
          <w:tcPr>
            <w:tcW w:w="1134" w:type="dxa"/>
            <w:vAlign w:val="center"/>
          </w:tcPr>
          <w:p>
            <w:pPr>
              <w:pStyle w:val="11"/>
            </w:pPr>
            <w:r>
              <w:t>10.95</w:t>
            </w:r>
          </w:p>
        </w:tc>
        <w:tc>
          <w:tcPr>
            <w:tcW w:w="1134" w:type="dxa"/>
            <w:vAlign w:val="center"/>
          </w:tcPr>
          <w:p>
            <w:pPr>
              <w:pStyle w:val="11"/>
            </w:pPr>
            <w:r>
              <w:t>10.95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13.43</w:t>
            </w:r>
          </w:p>
        </w:tc>
        <w:tc>
          <w:tcPr>
            <w:tcW w:w="1134" w:type="dxa"/>
            <w:vAlign w:val="center"/>
          </w:tcPr>
          <w:p>
            <w:pPr>
              <w:pStyle w:val="11"/>
            </w:pPr>
            <w:r>
              <w:t>13.43</w:t>
            </w:r>
          </w:p>
        </w:tc>
        <w:tc>
          <w:tcPr>
            <w:tcW w:w="1134" w:type="dxa"/>
            <w:vAlign w:val="center"/>
          </w:tcPr>
          <w:p>
            <w:pPr>
              <w:pStyle w:val="11"/>
            </w:pPr>
            <w:r>
              <w:t>13.43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13.43</w:t>
            </w:r>
          </w:p>
        </w:tc>
        <w:tc>
          <w:tcPr>
            <w:tcW w:w="1134" w:type="dxa"/>
            <w:vAlign w:val="center"/>
          </w:tcPr>
          <w:p>
            <w:pPr>
              <w:pStyle w:val="11"/>
            </w:pPr>
            <w:r>
              <w:t>13.43</w:t>
            </w:r>
          </w:p>
        </w:tc>
        <w:tc>
          <w:tcPr>
            <w:tcW w:w="1134" w:type="dxa"/>
            <w:vAlign w:val="center"/>
          </w:tcPr>
          <w:p>
            <w:pPr>
              <w:pStyle w:val="11"/>
            </w:pPr>
            <w:r>
              <w:t>13.43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6.04</w:t>
            </w:r>
          </w:p>
        </w:tc>
        <w:tc>
          <w:tcPr>
            <w:tcW w:w="1134" w:type="dxa"/>
            <w:vAlign w:val="center"/>
          </w:tcPr>
          <w:p>
            <w:pPr>
              <w:pStyle w:val="11"/>
            </w:pPr>
            <w:r>
              <w:t>6.04</w:t>
            </w:r>
          </w:p>
        </w:tc>
        <w:tc>
          <w:tcPr>
            <w:tcW w:w="1134" w:type="dxa"/>
            <w:vAlign w:val="center"/>
          </w:tcPr>
          <w:p>
            <w:pPr>
              <w:pStyle w:val="11"/>
            </w:pPr>
            <w:r>
              <w:t>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7.39</w:t>
            </w:r>
          </w:p>
        </w:tc>
        <w:tc>
          <w:tcPr>
            <w:tcW w:w="1134" w:type="dxa"/>
            <w:vAlign w:val="center"/>
          </w:tcPr>
          <w:p>
            <w:pPr>
              <w:pStyle w:val="11"/>
            </w:pPr>
            <w:r>
              <w:t>7.39</w:t>
            </w:r>
          </w:p>
        </w:tc>
        <w:tc>
          <w:tcPr>
            <w:tcW w:w="1134" w:type="dxa"/>
            <w:vAlign w:val="center"/>
          </w:tcPr>
          <w:p>
            <w:pPr>
              <w:pStyle w:val="11"/>
            </w:pPr>
            <w:r>
              <w:t>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r>
              <w:t>118.66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175.72</w:t>
            </w:r>
          </w:p>
        </w:tc>
        <w:tc>
          <w:tcPr>
            <w:tcW w:w="1361" w:type="dxa"/>
            <w:vAlign w:val="center"/>
          </w:tcPr>
          <w:p>
            <w:pPr>
              <w:pStyle w:val="15"/>
            </w:pPr>
            <w:r>
              <w:t>175.72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31.70</w:t>
            </w:r>
          </w:p>
        </w:tc>
        <w:tc>
          <w:tcPr>
            <w:tcW w:w="1361" w:type="dxa"/>
            <w:vAlign w:val="center"/>
          </w:tcPr>
          <w:p>
            <w:pPr>
              <w:pStyle w:val="11"/>
            </w:pPr>
            <w:r>
              <w:t>31.70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31.70</w:t>
            </w:r>
          </w:p>
        </w:tc>
        <w:tc>
          <w:tcPr>
            <w:tcW w:w="1361" w:type="dxa"/>
            <w:vAlign w:val="center"/>
          </w:tcPr>
          <w:p>
            <w:pPr>
              <w:pStyle w:val="11"/>
            </w:pPr>
            <w:r>
              <w:t>31.70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4.85</w:t>
            </w:r>
          </w:p>
        </w:tc>
        <w:tc>
          <w:tcPr>
            <w:tcW w:w="1361" w:type="dxa"/>
            <w:vAlign w:val="center"/>
          </w:tcPr>
          <w:p>
            <w:pPr>
              <w:pStyle w:val="11"/>
            </w:pPr>
            <w:r>
              <w:t>4.85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15.90</w:t>
            </w:r>
          </w:p>
        </w:tc>
        <w:tc>
          <w:tcPr>
            <w:tcW w:w="1361" w:type="dxa"/>
            <w:vAlign w:val="center"/>
          </w:tcPr>
          <w:p>
            <w:pPr>
              <w:pStyle w:val="11"/>
            </w:pPr>
            <w:r>
              <w:t>15.90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10.95</w:t>
            </w:r>
          </w:p>
        </w:tc>
        <w:tc>
          <w:tcPr>
            <w:tcW w:w="1361" w:type="dxa"/>
            <w:vAlign w:val="center"/>
          </w:tcPr>
          <w:p>
            <w:pPr>
              <w:pStyle w:val="11"/>
            </w:pPr>
            <w:r>
              <w:t>10.95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13.43</w:t>
            </w:r>
          </w:p>
        </w:tc>
        <w:tc>
          <w:tcPr>
            <w:tcW w:w="1361" w:type="dxa"/>
            <w:vAlign w:val="center"/>
          </w:tcPr>
          <w:p>
            <w:pPr>
              <w:pStyle w:val="11"/>
            </w:pPr>
            <w:r>
              <w:t>13.43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13.43</w:t>
            </w:r>
          </w:p>
        </w:tc>
        <w:tc>
          <w:tcPr>
            <w:tcW w:w="1361" w:type="dxa"/>
            <w:vAlign w:val="center"/>
          </w:tcPr>
          <w:p>
            <w:pPr>
              <w:pStyle w:val="11"/>
            </w:pPr>
            <w:r>
              <w:t>13.43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6.04</w:t>
            </w:r>
          </w:p>
        </w:tc>
        <w:tc>
          <w:tcPr>
            <w:tcW w:w="1361" w:type="dxa"/>
            <w:vAlign w:val="center"/>
          </w:tcPr>
          <w:p>
            <w:pPr>
              <w:pStyle w:val="11"/>
            </w:pPr>
            <w:r>
              <w:t>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7.39</w:t>
            </w:r>
          </w:p>
        </w:tc>
        <w:tc>
          <w:tcPr>
            <w:tcW w:w="1361" w:type="dxa"/>
            <w:vAlign w:val="center"/>
          </w:tcPr>
          <w:p>
            <w:pPr>
              <w:pStyle w:val="11"/>
            </w:pPr>
            <w:r>
              <w:t>7.39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11.93</w:t>
            </w:r>
          </w:p>
        </w:tc>
        <w:tc>
          <w:tcPr>
            <w:tcW w:w="1361" w:type="dxa"/>
            <w:vAlign w:val="center"/>
          </w:tcPr>
          <w:p>
            <w:pPr>
              <w:pStyle w:val="11"/>
            </w:pPr>
            <w:r>
              <w:t>11.93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11.93</w:t>
            </w:r>
          </w:p>
        </w:tc>
        <w:tc>
          <w:tcPr>
            <w:tcW w:w="1361" w:type="dxa"/>
            <w:vAlign w:val="center"/>
          </w:tcPr>
          <w:p>
            <w:pPr>
              <w:pStyle w:val="11"/>
            </w:pPr>
            <w:r>
              <w:t>11.93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11.93</w:t>
            </w:r>
          </w:p>
        </w:tc>
        <w:tc>
          <w:tcPr>
            <w:tcW w:w="1361" w:type="dxa"/>
            <w:vAlign w:val="center"/>
          </w:tcPr>
          <w:p>
            <w:pPr>
              <w:pStyle w:val="11"/>
            </w:pPr>
            <w:r>
              <w:t>11.93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118.66</w:t>
            </w:r>
          </w:p>
        </w:tc>
        <w:tc>
          <w:tcPr>
            <w:tcW w:w="1361" w:type="dxa"/>
            <w:vAlign w:val="center"/>
          </w:tcPr>
          <w:p>
            <w:pPr>
              <w:pStyle w:val="11"/>
            </w:pPr>
            <w:r>
              <w:t>118.66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118.66</w:t>
            </w:r>
          </w:p>
        </w:tc>
        <w:tc>
          <w:tcPr>
            <w:tcW w:w="1361" w:type="dxa"/>
            <w:vAlign w:val="center"/>
          </w:tcPr>
          <w:p>
            <w:pPr>
              <w:pStyle w:val="11"/>
            </w:pPr>
            <w:r>
              <w:t>118.66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118.66</w:t>
            </w:r>
          </w:p>
        </w:tc>
        <w:tc>
          <w:tcPr>
            <w:tcW w:w="1361" w:type="dxa"/>
            <w:vAlign w:val="center"/>
          </w:tcPr>
          <w:p>
            <w:pPr>
              <w:pStyle w:val="11"/>
            </w:pPr>
            <w:r>
              <w:t>118.66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175.72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31.70</w:t>
            </w:r>
          </w:p>
        </w:tc>
        <w:tc>
          <w:tcPr>
            <w:tcW w:w="1474" w:type="dxa"/>
            <w:vAlign w:val="center"/>
          </w:tcPr>
          <w:p>
            <w:pPr>
              <w:pStyle w:val="11"/>
            </w:pPr>
            <w:r>
              <w:t>31.70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13.43</w:t>
            </w:r>
          </w:p>
        </w:tc>
        <w:tc>
          <w:tcPr>
            <w:tcW w:w="1474" w:type="dxa"/>
            <w:vAlign w:val="center"/>
          </w:tcPr>
          <w:p>
            <w:pPr>
              <w:pStyle w:val="11"/>
            </w:pPr>
            <w:r>
              <w:t>13.43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11.93</w:t>
            </w:r>
          </w:p>
        </w:tc>
        <w:tc>
          <w:tcPr>
            <w:tcW w:w="1474" w:type="dxa"/>
            <w:vAlign w:val="center"/>
          </w:tcPr>
          <w:p>
            <w:pPr>
              <w:pStyle w:val="11"/>
            </w:pPr>
            <w:r>
              <w:t>11.93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118.66</w:t>
            </w:r>
          </w:p>
        </w:tc>
        <w:tc>
          <w:tcPr>
            <w:tcW w:w="1474" w:type="dxa"/>
            <w:vAlign w:val="center"/>
          </w:tcPr>
          <w:p>
            <w:pPr>
              <w:pStyle w:val="11"/>
            </w:pPr>
            <w:r>
              <w:t>118.66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175.72</w:t>
            </w:r>
          </w:p>
        </w:tc>
        <w:tc>
          <w:tcPr>
            <w:tcW w:w="3402" w:type="dxa"/>
            <w:vAlign w:val="center"/>
          </w:tcPr>
          <w:p>
            <w:pPr>
              <w:pStyle w:val="14"/>
            </w:pPr>
            <w:r>
              <w:t>本年支出合计</w:t>
            </w:r>
          </w:p>
        </w:tc>
        <w:tc>
          <w:tcPr>
            <w:tcW w:w="1474" w:type="dxa"/>
            <w:vAlign w:val="center"/>
          </w:tcPr>
          <w:p>
            <w:pPr>
              <w:pStyle w:val="15"/>
            </w:pPr>
            <w:r>
              <w:t>175.72</w:t>
            </w:r>
          </w:p>
        </w:tc>
        <w:tc>
          <w:tcPr>
            <w:tcW w:w="1474" w:type="dxa"/>
            <w:vAlign w:val="center"/>
          </w:tcPr>
          <w:p>
            <w:pPr>
              <w:pStyle w:val="15"/>
            </w:pPr>
            <w:r>
              <w:t>175.72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175.72</w:t>
            </w:r>
          </w:p>
        </w:tc>
        <w:tc>
          <w:tcPr>
            <w:tcW w:w="3402" w:type="dxa"/>
            <w:vAlign w:val="center"/>
          </w:tcPr>
          <w:p>
            <w:pPr>
              <w:pStyle w:val="14"/>
            </w:pPr>
            <w:r>
              <w:t>支出总计</w:t>
            </w:r>
          </w:p>
        </w:tc>
        <w:tc>
          <w:tcPr>
            <w:tcW w:w="1474" w:type="dxa"/>
            <w:vAlign w:val="center"/>
          </w:tcPr>
          <w:p>
            <w:pPr>
              <w:pStyle w:val="15"/>
            </w:pPr>
            <w:r>
              <w:t>175.72</w:t>
            </w:r>
          </w:p>
        </w:tc>
        <w:tc>
          <w:tcPr>
            <w:tcW w:w="1474" w:type="dxa"/>
            <w:vAlign w:val="center"/>
          </w:tcPr>
          <w:p>
            <w:pPr>
              <w:pStyle w:val="15"/>
            </w:pPr>
            <w:r>
              <w:t>175.72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175.72</w:t>
            </w:r>
          </w:p>
        </w:tc>
        <w:tc>
          <w:tcPr>
            <w:tcW w:w="2551" w:type="dxa"/>
            <w:vAlign w:val="center"/>
          </w:tcPr>
          <w:p>
            <w:pPr>
              <w:pStyle w:val="15"/>
            </w:pPr>
            <w:r>
              <w:t>175.72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31.70</w:t>
            </w:r>
          </w:p>
        </w:tc>
        <w:tc>
          <w:tcPr>
            <w:tcW w:w="2551" w:type="dxa"/>
            <w:vAlign w:val="center"/>
          </w:tcPr>
          <w:p>
            <w:pPr>
              <w:pStyle w:val="11"/>
            </w:pPr>
            <w:r>
              <w:t>31.70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31.70</w:t>
            </w:r>
          </w:p>
        </w:tc>
        <w:tc>
          <w:tcPr>
            <w:tcW w:w="2551" w:type="dxa"/>
            <w:vAlign w:val="center"/>
          </w:tcPr>
          <w:p>
            <w:pPr>
              <w:pStyle w:val="11"/>
            </w:pPr>
            <w:r>
              <w:t>31.70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4.85</w:t>
            </w:r>
          </w:p>
        </w:tc>
        <w:tc>
          <w:tcPr>
            <w:tcW w:w="2551" w:type="dxa"/>
            <w:vAlign w:val="center"/>
          </w:tcPr>
          <w:p>
            <w:pPr>
              <w:pStyle w:val="11"/>
            </w:pPr>
            <w:r>
              <w:t>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15.90</w:t>
            </w:r>
          </w:p>
        </w:tc>
        <w:tc>
          <w:tcPr>
            <w:tcW w:w="2551" w:type="dxa"/>
            <w:vAlign w:val="center"/>
          </w:tcPr>
          <w:p>
            <w:pPr>
              <w:pStyle w:val="11"/>
            </w:pPr>
            <w:r>
              <w:t>15.90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10.95</w:t>
            </w:r>
          </w:p>
        </w:tc>
        <w:tc>
          <w:tcPr>
            <w:tcW w:w="2551" w:type="dxa"/>
            <w:vAlign w:val="center"/>
          </w:tcPr>
          <w:p>
            <w:pPr>
              <w:pStyle w:val="11"/>
            </w:pPr>
            <w:r>
              <w:t>10.95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13.43</w:t>
            </w:r>
          </w:p>
        </w:tc>
        <w:tc>
          <w:tcPr>
            <w:tcW w:w="2551" w:type="dxa"/>
            <w:vAlign w:val="center"/>
          </w:tcPr>
          <w:p>
            <w:pPr>
              <w:pStyle w:val="11"/>
            </w:pPr>
            <w:r>
              <w:t>13.43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13.43</w:t>
            </w:r>
          </w:p>
        </w:tc>
        <w:tc>
          <w:tcPr>
            <w:tcW w:w="2551" w:type="dxa"/>
            <w:vAlign w:val="center"/>
          </w:tcPr>
          <w:p>
            <w:pPr>
              <w:pStyle w:val="11"/>
            </w:pPr>
            <w:r>
              <w:t>13.43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6.04</w:t>
            </w:r>
          </w:p>
        </w:tc>
        <w:tc>
          <w:tcPr>
            <w:tcW w:w="2551" w:type="dxa"/>
            <w:vAlign w:val="center"/>
          </w:tcPr>
          <w:p>
            <w:pPr>
              <w:pStyle w:val="11"/>
            </w:pPr>
            <w:r>
              <w:t>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7.39</w:t>
            </w:r>
          </w:p>
        </w:tc>
        <w:tc>
          <w:tcPr>
            <w:tcW w:w="2551" w:type="dxa"/>
            <w:vAlign w:val="center"/>
          </w:tcPr>
          <w:p>
            <w:pPr>
              <w:pStyle w:val="11"/>
            </w:pPr>
            <w:r>
              <w:t>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118.66</w:t>
            </w:r>
          </w:p>
        </w:tc>
        <w:tc>
          <w:tcPr>
            <w:tcW w:w="2551" w:type="dxa"/>
            <w:vAlign w:val="center"/>
          </w:tcPr>
          <w:p>
            <w:pPr>
              <w:pStyle w:val="11"/>
            </w:pPr>
            <w:r>
              <w:t>118.66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118.66</w:t>
            </w:r>
          </w:p>
        </w:tc>
        <w:tc>
          <w:tcPr>
            <w:tcW w:w="2551" w:type="dxa"/>
            <w:vAlign w:val="center"/>
          </w:tcPr>
          <w:p>
            <w:pPr>
              <w:pStyle w:val="11"/>
            </w:pPr>
            <w:r>
              <w:t>118.66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118.66</w:t>
            </w:r>
          </w:p>
        </w:tc>
        <w:tc>
          <w:tcPr>
            <w:tcW w:w="2551" w:type="dxa"/>
            <w:vAlign w:val="center"/>
          </w:tcPr>
          <w:p>
            <w:pPr>
              <w:pStyle w:val="11"/>
            </w:pPr>
            <w:r>
              <w:t>118.66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175.72</w:t>
            </w:r>
          </w:p>
        </w:tc>
        <w:tc>
          <w:tcPr>
            <w:tcW w:w="2551" w:type="dxa"/>
            <w:vAlign w:val="center"/>
          </w:tcPr>
          <w:p>
            <w:pPr>
              <w:pStyle w:val="15"/>
            </w:pPr>
            <w:r>
              <w:t>169.24</w:t>
            </w:r>
          </w:p>
        </w:tc>
        <w:tc>
          <w:tcPr>
            <w:tcW w:w="2551" w:type="dxa"/>
            <w:vAlign w:val="center"/>
          </w:tcPr>
          <w:p>
            <w:pPr>
              <w:pStyle w:val="15"/>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164.43</w:t>
            </w:r>
          </w:p>
        </w:tc>
        <w:tc>
          <w:tcPr>
            <w:tcW w:w="2551" w:type="dxa"/>
            <w:vAlign w:val="center"/>
          </w:tcPr>
          <w:p>
            <w:pPr>
              <w:pStyle w:val="11"/>
            </w:pPr>
            <w:r>
              <w:t>164.43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43.04</w:t>
            </w:r>
          </w:p>
        </w:tc>
        <w:tc>
          <w:tcPr>
            <w:tcW w:w="2551" w:type="dxa"/>
            <w:vAlign w:val="center"/>
          </w:tcPr>
          <w:p>
            <w:pPr>
              <w:pStyle w:val="11"/>
            </w:pPr>
            <w:r>
              <w:t>43.04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9.90</w:t>
            </w:r>
          </w:p>
        </w:tc>
        <w:tc>
          <w:tcPr>
            <w:tcW w:w="2551" w:type="dxa"/>
            <w:vAlign w:val="center"/>
          </w:tcPr>
          <w:p>
            <w:pPr>
              <w:pStyle w:val="11"/>
            </w:pPr>
            <w:r>
              <w:t>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49.67</w:t>
            </w:r>
          </w:p>
        </w:tc>
        <w:tc>
          <w:tcPr>
            <w:tcW w:w="2551" w:type="dxa"/>
            <w:vAlign w:val="center"/>
          </w:tcPr>
          <w:p>
            <w:pPr>
              <w:pStyle w:val="11"/>
            </w:pPr>
            <w:r>
              <w:t>49.67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15.90</w:t>
            </w:r>
          </w:p>
        </w:tc>
        <w:tc>
          <w:tcPr>
            <w:tcW w:w="2551" w:type="dxa"/>
            <w:vAlign w:val="center"/>
          </w:tcPr>
          <w:p>
            <w:pPr>
              <w:pStyle w:val="11"/>
            </w:pPr>
            <w:r>
              <w:t>15.90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10.95</w:t>
            </w:r>
          </w:p>
        </w:tc>
        <w:tc>
          <w:tcPr>
            <w:tcW w:w="2551" w:type="dxa"/>
            <w:vAlign w:val="center"/>
          </w:tcPr>
          <w:p>
            <w:pPr>
              <w:pStyle w:val="11"/>
            </w:pPr>
            <w:r>
              <w:t>10.95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6.04</w:t>
            </w:r>
          </w:p>
        </w:tc>
        <w:tc>
          <w:tcPr>
            <w:tcW w:w="2551" w:type="dxa"/>
            <w:vAlign w:val="center"/>
          </w:tcPr>
          <w:p>
            <w:pPr>
              <w:pStyle w:val="11"/>
            </w:pPr>
            <w:r>
              <w:t>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7.39</w:t>
            </w:r>
          </w:p>
        </w:tc>
        <w:tc>
          <w:tcPr>
            <w:tcW w:w="2551" w:type="dxa"/>
            <w:vAlign w:val="center"/>
          </w:tcPr>
          <w:p>
            <w:pPr>
              <w:pStyle w:val="11"/>
            </w:pPr>
            <w:r>
              <w:t>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1.21</w:t>
            </w:r>
          </w:p>
        </w:tc>
        <w:tc>
          <w:tcPr>
            <w:tcW w:w="2551" w:type="dxa"/>
            <w:vAlign w:val="center"/>
          </w:tcPr>
          <w:p>
            <w:pPr>
              <w:pStyle w:val="11"/>
            </w:pPr>
            <w:r>
              <w:t>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6.48</w:t>
            </w:r>
          </w:p>
        </w:tc>
        <w:tc>
          <w:tcPr>
            <w:tcW w:w="2551" w:type="dxa"/>
            <w:vAlign w:val="center"/>
          </w:tcPr>
          <w:p>
            <w:pPr>
              <w:pStyle w:val="11"/>
            </w:pPr>
          </w:p>
        </w:tc>
        <w:tc>
          <w:tcPr>
            <w:tcW w:w="2551" w:type="dxa"/>
            <w:vAlign w:val="center"/>
          </w:tcPr>
          <w:p>
            <w:pPr>
              <w:pStyle w:val="11"/>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0.81</w:t>
            </w:r>
          </w:p>
        </w:tc>
        <w:tc>
          <w:tcPr>
            <w:tcW w:w="2551" w:type="dxa"/>
            <w:vAlign w:val="center"/>
          </w:tcPr>
          <w:p>
            <w:pPr>
              <w:pStyle w:val="11"/>
            </w:pPr>
          </w:p>
        </w:tc>
        <w:tc>
          <w:tcPr>
            <w:tcW w:w="2551" w:type="dxa"/>
            <w:vAlign w:val="center"/>
          </w:tcPr>
          <w:p>
            <w:pPr>
              <w:pStyle w:val="11"/>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0.09</w:t>
            </w:r>
          </w:p>
        </w:tc>
        <w:tc>
          <w:tcPr>
            <w:tcW w:w="2551" w:type="dxa"/>
            <w:vAlign w:val="center"/>
          </w:tcPr>
          <w:p>
            <w:pPr>
              <w:pStyle w:val="11"/>
            </w:pPr>
          </w:p>
        </w:tc>
        <w:tc>
          <w:tcPr>
            <w:tcW w:w="2551" w:type="dxa"/>
            <w:vAlign w:val="center"/>
          </w:tcPr>
          <w:p>
            <w:pPr>
              <w:pStyle w:val="11"/>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1.03</w:t>
            </w:r>
          </w:p>
        </w:tc>
        <w:tc>
          <w:tcPr>
            <w:tcW w:w="2551" w:type="dxa"/>
            <w:vAlign w:val="center"/>
          </w:tcPr>
          <w:p>
            <w:pPr>
              <w:pStyle w:val="11"/>
            </w:pPr>
          </w:p>
        </w:tc>
        <w:tc>
          <w:tcPr>
            <w:tcW w:w="2551" w:type="dxa"/>
            <w:vAlign w:val="center"/>
          </w:tcPr>
          <w:p>
            <w:pPr>
              <w:pStyle w:val="11"/>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0.09</w:t>
            </w:r>
          </w:p>
        </w:tc>
        <w:tc>
          <w:tcPr>
            <w:tcW w:w="2551" w:type="dxa"/>
            <w:vAlign w:val="center"/>
          </w:tcPr>
          <w:p>
            <w:pPr>
              <w:pStyle w:val="11"/>
            </w:pPr>
          </w:p>
        </w:tc>
        <w:tc>
          <w:tcPr>
            <w:tcW w:w="2551" w:type="dxa"/>
            <w:vAlign w:val="center"/>
          </w:tcPr>
          <w:p>
            <w:pPr>
              <w:pStyle w:val="11"/>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1.37</w:t>
            </w:r>
          </w:p>
        </w:tc>
        <w:tc>
          <w:tcPr>
            <w:tcW w:w="2551" w:type="dxa"/>
            <w:vAlign w:val="center"/>
          </w:tcPr>
          <w:p>
            <w:pPr>
              <w:pStyle w:val="11"/>
            </w:pPr>
          </w:p>
        </w:tc>
        <w:tc>
          <w:tcPr>
            <w:tcW w:w="2551" w:type="dxa"/>
            <w:vAlign w:val="center"/>
          </w:tcPr>
          <w:p>
            <w:pPr>
              <w:pStyle w:val="11"/>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0.92</w:t>
            </w:r>
          </w:p>
        </w:tc>
        <w:tc>
          <w:tcPr>
            <w:tcW w:w="2551" w:type="dxa"/>
            <w:vAlign w:val="center"/>
          </w:tcPr>
          <w:p>
            <w:pPr>
              <w:pStyle w:val="11"/>
            </w:pPr>
          </w:p>
        </w:tc>
        <w:tc>
          <w:tcPr>
            <w:tcW w:w="2551" w:type="dxa"/>
            <w:vAlign w:val="center"/>
          </w:tcPr>
          <w:p>
            <w:pPr>
              <w:pStyle w:val="11"/>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4.81</w:t>
            </w:r>
          </w:p>
        </w:tc>
        <w:tc>
          <w:tcPr>
            <w:tcW w:w="2551" w:type="dxa"/>
            <w:vAlign w:val="center"/>
          </w:tcPr>
          <w:p>
            <w:pPr>
              <w:pStyle w:val="11"/>
            </w:pPr>
            <w:r>
              <w:t>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4.69</w:t>
            </w:r>
          </w:p>
        </w:tc>
        <w:tc>
          <w:tcPr>
            <w:tcW w:w="2551" w:type="dxa"/>
            <w:vAlign w:val="center"/>
          </w:tcPr>
          <w:p>
            <w:pPr>
              <w:pStyle w:val="11"/>
            </w:pPr>
            <w:r>
              <w:t>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1.12</w:t>
            </w:r>
          </w:p>
        </w:tc>
        <w:tc>
          <w:tcPr>
            <w:tcW w:w="2381" w:type="dxa"/>
            <w:vAlign w:val="center"/>
          </w:tcPr>
          <w:p>
            <w:pPr>
              <w:pStyle w:val="15"/>
            </w:pPr>
            <w:r>
              <w:t>1.12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0.09</w:t>
            </w:r>
          </w:p>
        </w:tc>
        <w:tc>
          <w:tcPr>
            <w:tcW w:w="2381" w:type="dxa"/>
            <w:vAlign w:val="center"/>
          </w:tcPr>
          <w:p>
            <w:pPr>
              <w:pStyle w:val="11"/>
            </w:pPr>
            <w:r>
              <w:t>0.09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0.09</w:t>
            </w:r>
          </w:p>
        </w:tc>
        <w:tc>
          <w:tcPr>
            <w:tcW w:w="2381" w:type="dxa"/>
            <w:vAlign w:val="center"/>
          </w:tcPr>
          <w:p>
            <w:pPr>
              <w:pStyle w:val="11"/>
            </w:pPr>
            <w:r>
              <w:t>0.09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秦皇岛经济技术开发区安全生产监察大队2024年单位预算信息公开情况说明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按照《中华人民共和国预算法》、《地方预决算公开操作规程》和《关于进一步推进预算公开工作的实施意见》规定，现将秦皇岛经济技术开发区安全生产监察大队2024年单位预算公开如下：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冶金、有色、建材、机械、轻工、纺织、烟草、商贸等工商贸行业安全生产监管工作，指导监督相关行业企业安全生产标准化、安全预防控制体系、安全生产风险辨识管控、安全生产隐患排查治理、安全生产专项整治、安全生产诚信体系建设、安全生产文化建设等工作。负责化工（含石油化工）、医药、危险化学品和烟花爆竹安全生产监督管理工作，承担危险化学品安全监督管理综合工作，组织指导全区危险化学品登记，指导非药品类易制毒化学品生产经营监督管理工作。负责非煤矿山(含地质勘探、尾矿库)、石油(炼化、成品油管道除外)行业安全生产监管工作。拟订相关行业安全生产规程、标准，指导监督相关行业企业安全生产标准化、安全预防控制体系建设等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秦皇岛经济技术开发区安全生产监察大队</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175.72万元，其中：一般公共预算收入175.72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经济技术开发区安全生产监察大队年度单位预算中支出预算的总体情况。2024年支出预算175.72万元，其中基本支出175.72万元，包括人员经费169.24万元和日常公用经费6.48万元；项目支出0.00万元，主要为无</w:t>
      </w:r>
    </w:p>
    <w:p>
      <w:pPr>
        <w:pStyle w:val="18"/>
      </w:pPr>
      <w:r>
        <w:t>3、比上年增减情况</w:t>
      </w:r>
    </w:p>
    <w:p>
      <w:pPr>
        <w:pStyle w:val="18"/>
      </w:pPr>
      <w:r>
        <w:t>2024年预算收支安排175.72万元，较2023年预算减少61.76万元，其中：基本支出减少61.76万元，主要为人员减少，造成人员经费和日常公用经费减少。项目支出增加0.00万元，主要为无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2024年，我单位机关运行经费共计安排6.48万元，主要用于日常维修、办公用房水电费、办公用房取暖费、办公用房物业管理费等日常运行支出。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0.09万元，其中因公出国（境）费0.00万元；公务用车购置及运维费0.00万元（其中：公务用车购置费为0.00万元，公务用车运维费0.00万元)；公务接待费0.09万元。与2023年相比增加0.09万元，增减变化的主要原因是与2023年相比，2024年“三公经费”增加了0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秦皇岛经济技术开发区安全生产监察大队上年末固定资产金额为15</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889万元（详见下表）。本年度拟购置固定资产总额为0.00万元，已按要求列入政府采购预算，详见政府采购预算表。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426003秦皇岛经济技术开发区安全生产监察大队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15</w:t>
            </w:r>
            <w:r>
              <w:rPr>
                <w:rFonts w:hint="eastAsia"/>
                <w:lang w:val="en-US" w:eastAsia="zh-CN"/>
              </w:rPr>
              <w:t>.</w:t>
            </w: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12</w:t>
            </w:r>
          </w:p>
        </w:tc>
        <w:tc>
          <w:tcPr>
            <w:tcW w:w="2835" w:type="dxa"/>
            <w:vAlign w:val="center"/>
          </w:tcPr>
          <w:p>
            <w:pPr>
              <w:pStyle w:val="11"/>
            </w:pPr>
            <w:r>
              <w:t>15</w:t>
            </w:r>
            <w:r>
              <w:rPr>
                <w:rFonts w:hint="eastAsia"/>
                <w:lang w:val="en-US" w:eastAsia="zh-CN"/>
              </w:rPr>
              <w:t>.</w:t>
            </w:r>
            <w:r>
              <w:t>889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4610"/>
    <w:rsid w:val="059454B6"/>
    <w:rsid w:val="0C9C6E78"/>
    <w:rsid w:val="0DF33CF1"/>
    <w:rsid w:val="109E4280"/>
    <w:rsid w:val="11912BCF"/>
    <w:rsid w:val="156051A2"/>
    <w:rsid w:val="17072F54"/>
    <w:rsid w:val="17AA1B99"/>
    <w:rsid w:val="1906629D"/>
    <w:rsid w:val="1A0C7D49"/>
    <w:rsid w:val="1A1D51AB"/>
    <w:rsid w:val="1B685A87"/>
    <w:rsid w:val="1B9F015F"/>
    <w:rsid w:val="20D81670"/>
    <w:rsid w:val="2284712E"/>
    <w:rsid w:val="23BE4AB9"/>
    <w:rsid w:val="25EB2882"/>
    <w:rsid w:val="27E122AB"/>
    <w:rsid w:val="29F553A6"/>
    <w:rsid w:val="30AA4C5E"/>
    <w:rsid w:val="33A20D45"/>
    <w:rsid w:val="33D13E6B"/>
    <w:rsid w:val="373F11B0"/>
    <w:rsid w:val="39BA3CDF"/>
    <w:rsid w:val="3E5541D1"/>
    <w:rsid w:val="43A12D4C"/>
    <w:rsid w:val="43DF5F0B"/>
    <w:rsid w:val="43F7001B"/>
    <w:rsid w:val="481D1532"/>
    <w:rsid w:val="48CD522C"/>
    <w:rsid w:val="4AF92A5D"/>
    <w:rsid w:val="4F2F3075"/>
    <w:rsid w:val="4FF24139"/>
    <w:rsid w:val="55190B9F"/>
    <w:rsid w:val="553B4AAC"/>
    <w:rsid w:val="558A5663"/>
    <w:rsid w:val="5D047591"/>
    <w:rsid w:val="63953170"/>
    <w:rsid w:val="64456134"/>
    <w:rsid w:val="664A365E"/>
    <w:rsid w:val="68106253"/>
    <w:rsid w:val="6B9F343A"/>
    <w:rsid w:val="763214A0"/>
    <w:rsid w:val="77694EF6"/>
    <w:rsid w:val="78031871"/>
    <w:rsid w:val="7B587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6" Type="http://schemas.openxmlformats.org/officeDocument/2006/relationships/fontTable" Target="fontTable.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2024-05-08T15:50:16Z</dcterms:created>
  <dcterms:modified xsi:type="dcterms:W3CDTF">2024-05-08T07:50:16Z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2024-05-08T15:50:18Z</dcterms:created>
  <dcterms:modified xsi:type="dcterms:W3CDTF">2024-05-08T07:50:18Z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2024-05-08T15:50:11Z</dcterms:created>
  <dcterms:modified xsi:type="dcterms:W3CDTF">2024-05-08T07:50:10Z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2024-05-08T15:50:19Z</dcterms:created>
  <dcterms:modified xsi:type="dcterms:W3CDTF">2024-05-08T07:50:19Z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2024-05-08T15:50:22Z</dcterms:created>
  <dcterms:modified xsi:type="dcterms:W3CDTF">2024-05-08T07:50:21Z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2024-05-08T15:50:22Z</dcterms:created>
  <dcterms:modified xsi:type="dcterms:W3CDTF">2024-05-08T07:50:22Z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2024-05-08T15:50:16Z</dcterms:created>
  <dcterms:modified xsi:type="dcterms:W3CDTF">2024-05-08T07:50:16Z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2024-05-08T15:50:00Z</dcterms:created>
  <dcterms:modified xsi:type="dcterms:W3CDTF">2024-05-08T07:50:00Z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2024-05-08T15:50:17Z</dcterms:created>
  <dcterms:modified xsi:type="dcterms:W3CDTF">2024-05-08T07:50:17Z</dcterms:modified>
</cp:coreProperties>
</file>

<file path=customXml/itemProps1.xml><?xml version="1.0" encoding="utf-8"?>
<ds:datastoreItem xmlns:ds="http://schemas.openxmlformats.org/officeDocument/2006/customXml" ds:itemID="{7b0118d9-0b8c-4bad-9ae5-9e55dae464f8}">
  <ds:schemaRefs/>
</ds:datastoreItem>
</file>

<file path=customXml/itemProps10.xml><?xml version="1.0" encoding="utf-8"?>
<ds:datastoreItem xmlns:ds="http://schemas.openxmlformats.org/officeDocument/2006/customXml" ds:itemID="{9e932ff0-ab15-4edc-85fa-3747180cae68}">
  <ds:schemaRefs/>
</ds:datastoreItem>
</file>

<file path=customXml/itemProps11.xml><?xml version="1.0" encoding="utf-8"?>
<ds:datastoreItem xmlns:ds="http://schemas.openxmlformats.org/officeDocument/2006/customXml" ds:itemID="{300506fc-7c4f-481a-99da-827c2d018879}">
  <ds:schemaRefs/>
</ds:datastoreItem>
</file>

<file path=customXml/itemProps12.xml><?xml version="1.0" encoding="utf-8"?>
<ds:datastoreItem xmlns:ds="http://schemas.openxmlformats.org/officeDocument/2006/customXml" ds:itemID="{76de3c65-a2bc-4fac-9841-55f9c199cd72}">
  <ds:schemaRefs/>
</ds:datastoreItem>
</file>

<file path=customXml/itemProps13.xml><?xml version="1.0" encoding="utf-8"?>
<ds:datastoreItem xmlns:ds="http://schemas.openxmlformats.org/officeDocument/2006/customXml" ds:itemID="{d5493fa7-72cf-4f24-ab5a-c21d7386309a}">
  <ds:schemaRefs/>
</ds:datastoreItem>
</file>

<file path=customXml/itemProps14.xml><?xml version="1.0" encoding="utf-8"?>
<ds:datastoreItem xmlns:ds="http://schemas.openxmlformats.org/officeDocument/2006/customXml" ds:itemID="{3d015eea-29f3-40d6-a70f-b30c7655c060}">
  <ds:schemaRefs/>
</ds:datastoreItem>
</file>

<file path=customXml/itemProps15.xml><?xml version="1.0" encoding="utf-8"?>
<ds:datastoreItem xmlns:ds="http://schemas.openxmlformats.org/officeDocument/2006/customXml" ds:itemID="{5113332b-9f50-4015-a9af-182eaf6e9ab6}">
  <ds:schemaRefs/>
</ds:datastoreItem>
</file>

<file path=customXml/itemProps16.xml><?xml version="1.0" encoding="utf-8"?>
<ds:datastoreItem xmlns:ds="http://schemas.openxmlformats.org/officeDocument/2006/customXml" ds:itemID="{3a04bed7-47cb-4023-83ab-0932fe19c725}">
  <ds:schemaRefs/>
</ds:datastoreItem>
</file>

<file path=customXml/itemProps17.xml><?xml version="1.0" encoding="utf-8"?>
<ds:datastoreItem xmlns:ds="http://schemas.openxmlformats.org/officeDocument/2006/customXml" ds:itemID="{45dc3b11-f7f8-4766-8ff4-f625efaf74c2}">
  <ds:schemaRefs/>
</ds:datastoreItem>
</file>

<file path=customXml/itemProps18.xml><?xml version="1.0" encoding="utf-8"?>
<ds:datastoreItem xmlns:ds="http://schemas.openxmlformats.org/officeDocument/2006/customXml" ds:itemID="{16a27b49-36f3-4e7e-8d7a-fc6b0f39e02d}">
  <ds:schemaRefs/>
</ds:datastoreItem>
</file>

<file path=customXml/itemProps19.xml><?xml version="1.0" encoding="utf-8"?>
<ds:datastoreItem xmlns:ds="http://schemas.openxmlformats.org/officeDocument/2006/customXml" ds:itemID="{b4ae2d79-1342-4bc9-9402-c1955af4f5d0}">
  <ds:schemaRefs/>
</ds:datastoreItem>
</file>

<file path=customXml/itemProps2.xml><?xml version="1.0" encoding="utf-8"?>
<ds:datastoreItem xmlns:ds="http://schemas.openxmlformats.org/officeDocument/2006/customXml" ds:itemID="{10e4bad8-4797-464e-bb06-8a3392762cb0}">
  <ds:schemaRefs/>
</ds:datastoreItem>
</file>

<file path=customXml/itemProps20.xml><?xml version="1.0" encoding="utf-8"?>
<ds:datastoreItem xmlns:ds="http://schemas.openxmlformats.org/officeDocument/2006/customXml" ds:itemID="{c7798afb-3412-4008-baf9-bc89a7a18249}">
  <ds:schemaRefs/>
</ds:datastoreItem>
</file>

<file path=customXml/itemProps21.xml><?xml version="1.0" encoding="utf-8"?>
<ds:datastoreItem xmlns:ds="http://schemas.openxmlformats.org/officeDocument/2006/customXml" ds:itemID="{717a2fd5-5b25-491b-adf6-6e70f43d24cc}">
  <ds:schemaRefs/>
</ds:datastoreItem>
</file>

<file path=customXml/itemProps22.xml><?xml version="1.0" encoding="utf-8"?>
<ds:datastoreItem xmlns:ds="http://schemas.openxmlformats.org/officeDocument/2006/customXml" ds:itemID="{896dc6e2-0984-40c7-91fc-d9dcca6bf4a3}">
  <ds:schemaRefs/>
</ds:datastoreItem>
</file>

<file path=customXml/itemProps23.xml><?xml version="1.0" encoding="utf-8"?>
<ds:datastoreItem xmlns:ds="http://schemas.openxmlformats.org/officeDocument/2006/customXml" ds:itemID="{82b0f398-0708-48a4-960f-20d25e493d28}">
  <ds:schemaRefs/>
</ds:datastoreItem>
</file>

<file path=customXml/itemProps24.xml><?xml version="1.0" encoding="utf-8"?>
<ds:datastoreItem xmlns:ds="http://schemas.openxmlformats.org/officeDocument/2006/customXml" ds:itemID="{8bd9f847-d4f3-4b01-a2e1-7651e7e55218}">
  <ds:schemaRefs/>
</ds:datastoreItem>
</file>

<file path=customXml/itemProps25.xml><?xml version="1.0" encoding="utf-8"?>
<ds:datastoreItem xmlns:ds="http://schemas.openxmlformats.org/officeDocument/2006/customXml" ds:itemID="{dd80c300-fcd9-41e7-b9bd-3f1df9c76d8b}">
  <ds:schemaRefs/>
</ds:datastoreItem>
</file>

<file path=customXml/itemProps26.xml><?xml version="1.0" encoding="utf-8"?>
<ds:datastoreItem xmlns:ds="http://schemas.openxmlformats.org/officeDocument/2006/customXml" ds:itemID="{4fd6a359-ee6a-4dfa-a0d6-cfd9637bfdb7}">
  <ds:schemaRefs/>
</ds:datastoreItem>
</file>

<file path=customXml/itemProps27.xml><?xml version="1.0" encoding="utf-8"?>
<ds:datastoreItem xmlns:ds="http://schemas.openxmlformats.org/officeDocument/2006/customXml" ds:itemID="{9a75f14d-e9cd-4538-a014-9eb1f6c84b9f}">
  <ds:schemaRefs/>
</ds:datastoreItem>
</file>

<file path=customXml/itemProps28.xml><?xml version="1.0" encoding="utf-8"?>
<ds:datastoreItem xmlns:ds="http://schemas.openxmlformats.org/officeDocument/2006/customXml" ds:itemID="{88c13fc2-f364-48ad-a68d-31b1e7ed21b9}">
  <ds:schemaRefs/>
</ds:datastoreItem>
</file>

<file path=customXml/itemProps29.xml><?xml version="1.0" encoding="utf-8"?>
<ds:datastoreItem xmlns:ds="http://schemas.openxmlformats.org/officeDocument/2006/customXml" ds:itemID="{89d8b015-bf4b-4b45-847d-e111b66591df}">
  <ds:schemaRefs/>
</ds:datastoreItem>
</file>

<file path=customXml/itemProps3.xml><?xml version="1.0" encoding="utf-8"?>
<ds:datastoreItem xmlns:ds="http://schemas.openxmlformats.org/officeDocument/2006/customXml" ds:itemID="{c18c53fb-f9fd-4f08-a4b2-08ebd9c9ca03}">
  <ds:schemaRefs/>
</ds:datastoreItem>
</file>

<file path=customXml/itemProps30.xml><?xml version="1.0" encoding="utf-8"?>
<ds:datastoreItem xmlns:ds="http://schemas.openxmlformats.org/officeDocument/2006/customXml" ds:itemID="{746eb767-9591-4537-84d8-1f2894c1a968}">
  <ds:schemaRefs/>
</ds:datastoreItem>
</file>

<file path=customXml/itemProps31.xml><?xml version="1.0" encoding="utf-8"?>
<ds:datastoreItem xmlns:ds="http://schemas.openxmlformats.org/officeDocument/2006/customXml" ds:itemID="{bdc85931-03bf-4c16-9fb5-212d2b58da26}">
  <ds:schemaRefs/>
</ds:datastoreItem>
</file>

<file path=customXml/itemProps32.xml><?xml version="1.0" encoding="utf-8"?>
<ds:datastoreItem xmlns:ds="http://schemas.openxmlformats.org/officeDocument/2006/customXml" ds:itemID="{2c69231d-05a7-4121-8204-400701ecd139}">
  <ds:schemaRefs/>
</ds:datastoreItem>
</file>

<file path=customXml/itemProps33.xml><?xml version="1.0" encoding="utf-8"?>
<ds:datastoreItem xmlns:ds="http://schemas.openxmlformats.org/officeDocument/2006/customXml" ds:itemID="{3e12bf3c-f4dd-408d-8911-7fe86576818b}">
  <ds:schemaRefs/>
</ds:datastoreItem>
</file>

<file path=customXml/itemProps34.xml><?xml version="1.0" encoding="utf-8"?>
<ds:datastoreItem xmlns:ds="http://schemas.openxmlformats.org/officeDocument/2006/customXml" ds:itemID="{1d649607-8592-4878-87ff-d4b6e708c792}">
  <ds:schemaRefs/>
</ds:datastoreItem>
</file>

<file path=customXml/itemProps35.xml><?xml version="1.0" encoding="utf-8"?>
<ds:datastoreItem xmlns:ds="http://schemas.openxmlformats.org/officeDocument/2006/customXml" ds:itemID="{1f709500-43c9-4dce-8b7f-95e3c62bfa00}">
  <ds:schemaRefs/>
</ds:datastoreItem>
</file>

<file path=customXml/itemProps36.xml><?xml version="1.0" encoding="utf-8"?>
<ds:datastoreItem xmlns:ds="http://schemas.openxmlformats.org/officeDocument/2006/customXml" ds:itemID="{038e7161-1516-4a65-b0b8-c3660cd0cff3}">
  <ds:schemaRefs/>
</ds:datastoreItem>
</file>

<file path=customXml/itemProps37.xml><?xml version="1.0" encoding="utf-8"?>
<ds:datastoreItem xmlns:ds="http://schemas.openxmlformats.org/officeDocument/2006/customXml" ds:itemID="{ec70ac81-8804-44d8-8cf2-300fa1b4e2b0}">
  <ds:schemaRefs/>
</ds:datastoreItem>
</file>

<file path=customXml/itemProps38.xml><?xml version="1.0" encoding="utf-8"?>
<ds:datastoreItem xmlns:ds="http://schemas.openxmlformats.org/officeDocument/2006/customXml" ds:itemID="{44deefc8-030d-4347-bc0a-ff41cdc65515}">
  <ds:schemaRefs/>
</ds:datastoreItem>
</file>

<file path=customXml/itemProps39.xml><?xml version="1.0" encoding="utf-8"?>
<ds:datastoreItem xmlns:ds="http://schemas.openxmlformats.org/officeDocument/2006/customXml" ds:itemID="{f7027a9e-06a6-4817-a1d9-b2093c5258a3}">
  <ds:schemaRefs/>
</ds:datastoreItem>
</file>

<file path=customXml/itemProps4.xml><?xml version="1.0" encoding="utf-8"?>
<ds:datastoreItem xmlns:ds="http://schemas.openxmlformats.org/officeDocument/2006/customXml" ds:itemID="{41f5c043-52f8-43fb-af27-00f91ef80caa}">
  <ds:schemaRefs/>
</ds:datastoreItem>
</file>

<file path=customXml/itemProps40.xml><?xml version="1.0" encoding="utf-8"?>
<ds:datastoreItem xmlns:ds="http://schemas.openxmlformats.org/officeDocument/2006/customXml" ds:itemID="{0cabb88f-d09c-4a77-9364-d038b4f587b0}">
  <ds:schemaRefs/>
</ds:datastoreItem>
</file>

<file path=customXml/itemProps5.xml><?xml version="1.0" encoding="utf-8"?>
<ds:datastoreItem xmlns:ds="http://schemas.openxmlformats.org/officeDocument/2006/customXml" ds:itemID="{8b3cb13a-6aa8-485e-8f1f-1b3f32877c89}">
  <ds:schemaRefs/>
</ds:datastoreItem>
</file>

<file path=customXml/itemProps6.xml><?xml version="1.0" encoding="utf-8"?>
<ds:datastoreItem xmlns:ds="http://schemas.openxmlformats.org/officeDocument/2006/customXml" ds:itemID="{c669a187-0862-44bb-bc25-3378551b8411}">
  <ds:schemaRefs/>
</ds:datastoreItem>
</file>

<file path=customXml/itemProps7.xml><?xml version="1.0" encoding="utf-8"?>
<ds:datastoreItem xmlns:ds="http://schemas.openxmlformats.org/officeDocument/2006/customXml" ds:itemID="{7b643f06-3703-436b-a150-d251ea069e9a}">
  <ds:schemaRefs/>
</ds:datastoreItem>
</file>

<file path=customXml/itemProps8.xml><?xml version="1.0" encoding="utf-8"?>
<ds:datastoreItem xmlns:ds="http://schemas.openxmlformats.org/officeDocument/2006/customXml" ds:itemID="{992c9aa8-9179-4783-8c33-e4024d0b28f9}">
  <ds:schemaRefs/>
</ds:datastoreItem>
</file>

<file path=customXml/itemProps9.xml><?xml version="1.0" encoding="utf-8"?>
<ds:datastoreItem xmlns:ds="http://schemas.openxmlformats.org/officeDocument/2006/customXml" ds:itemID="{abcced74-19a0-43c2-b415-e00f9e419e4f}">
  <ds:schemaRefs/>
</ds:datastoreItem>
</file>

<file path=docProps/app.xml><?xml version="1.0" encoding="utf-8"?>
<Properties xmlns="http://schemas.openxmlformats.org/officeDocument/2006/extended-properties" xmlns:vt="http://schemas.openxmlformats.org/officeDocument/2006/docPropsVTypes">
  <Pages>96</Pages>
  <Words>22870</Words>
  <Characters>27351</Characters>
  <TotalTime>185</TotalTime>
  <ScaleCrop>false</ScaleCrop>
  <LinksUpToDate>false</LinksUpToDate>
  <CharactersWithSpaces>27737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2024-05-08T15:50:00Z</dcterms:created>
  <dc:creator>Administrator</dc:creator>
  <cp:lastModifiedBy>Administrator</cp:lastModifiedBy>
  <dcterms:modified xsi:type="dcterms:W3CDTF">2024-08-14T00:44:35Z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FBE807582F3440C2A7CF0875C0733D63</vt:lpwstr>
  </property>
</Properties>
</file>