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bookmarkStart w:id="0" w:name="_Toc_4_4_0000000019"/>
      <w:r>
        <w:rPr>
          <w:rFonts w:ascii="方正小标宋_GBK" w:hAnsi="方正小标宋_GBK" w:eastAsia="方正小标宋_GBK" w:cs="方正小标宋_GBK"/>
          <w:color w:val="000000"/>
          <w:sz w:val="44"/>
        </w:rPr>
        <w:t>秦皇岛经济技术开发区国有资产监督管理办公室（本级）收支预算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5"/>
            </w:pPr>
            <w:r>
              <w:t>381001秦皇岛经济技术开发区国有资产监督管理办公室（本级）</w:t>
            </w:r>
          </w:p>
        </w:tc>
        <w:tc>
          <w:tcPr>
            <w:tcW w:w="2126" w:type="dxa"/>
            <w:tcBorders>
              <w:top w:val="single" w:color="FFFFFF" w:sz="6" w:space="0"/>
              <w:left w:val="single" w:color="FFFFFF" w:sz="6" w:space="0"/>
              <w:right w:val="single" w:color="FFFFFF" w:sz="6" w:space="0"/>
            </w:tcBorders>
            <w:vAlign w:val="center"/>
          </w:tcPr>
          <w:p>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4535" w:type="dxa"/>
            <w:vAlign w:val="center"/>
          </w:tcPr>
          <w:p>
            <w:pPr>
              <w:pStyle w:val="10"/>
            </w:pPr>
            <w:r>
              <w:t>一、一般公共预算拨款收入</w:t>
            </w:r>
          </w:p>
        </w:tc>
        <w:tc>
          <w:tcPr>
            <w:tcW w:w="2126" w:type="dxa"/>
            <w:vAlign w:val="center"/>
          </w:tcPr>
          <w:p>
            <w:pPr>
              <w:pStyle w:val="11"/>
            </w:pPr>
            <w:r>
              <w:t>125.86</w:t>
            </w:r>
          </w:p>
        </w:tc>
        <w:tc>
          <w:tcPr>
            <w:tcW w:w="4535" w:type="dxa"/>
            <w:vAlign w:val="center"/>
          </w:tcPr>
          <w:p>
            <w:pPr>
              <w:pStyle w:val="10"/>
            </w:pPr>
            <w:r>
              <w:t>一、一般公共服务支出</w:t>
            </w:r>
          </w:p>
        </w:tc>
        <w:tc>
          <w:tcPr>
            <w:tcW w:w="2126"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4535" w:type="dxa"/>
            <w:vAlign w:val="center"/>
          </w:tcPr>
          <w:p>
            <w:pPr>
              <w:pStyle w:val="10"/>
            </w:pPr>
            <w:r>
              <w:t>二、政府性基金预算拨款收入</w:t>
            </w:r>
          </w:p>
        </w:tc>
        <w:tc>
          <w:tcPr>
            <w:tcW w:w="2126" w:type="dxa"/>
            <w:vAlign w:val="center"/>
          </w:tcPr>
          <w:p>
            <w:pPr>
              <w:pStyle w:val="11"/>
            </w:pPr>
          </w:p>
        </w:tc>
        <w:tc>
          <w:tcPr>
            <w:tcW w:w="4535" w:type="dxa"/>
            <w:vAlign w:val="center"/>
          </w:tcPr>
          <w:p>
            <w:pPr>
              <w:pStyle w:val="10"/>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4535" w:type="dxa"/>
            <w:vAlign w:val="center"/>
          </w:tcPr>
          <w:p>
            <w:pPr>
              <w:pStyle w:val="10"/>
            </w:pPr>
            <w:r>
              <w:t>三、国有资本经营预算拨款收入</w:t>
            </w:r>
          </w:p>
        </w:tc>
        <w:tc>
          <w:tcPr>
            <w:tcW w:w="2126" w:type="dxa"/>
            <w:vAlign w:val="center"/>
          </w:tcPr>
          <w:p>
            <w:pPr>
              <w:pStyle w:val="11"/>
            </w:pPr>
          </w:p>
        </w:tc>
        <w:tc>
          <w:tcPr>
            <w:tcW w:w="4535" w:type="dxa"/>
            <w:vAlign w:val="center"/>
          </w:tcPr>
          <w:p>
            <w:pPr>
              <w:pStyle w:val="10"/>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4535" w:type="dxa"/>
            <w:vAlign w:val="center"/>
          </w:tcPr>
          <w:p>
            <w:pPr>
              <w:pStyle w:val="10"/>
            </w:pPr>
            <w:r>
              <w:t>四、财政专户管理资金收入</w:t>
            </w:r>
          </w:p>
        </w:tc>
        <w:tc>
          <w:tcPr>
            <w:tcW w:w="2126" w:type="dxa"/>
            <w:vAlign w:val="center"/>
          </w:tcPr>
          <w:p>
            <w:pPr>
              <w:pStyle w:val="11"/>
            </w:pPr>
          </w:p>
        </w:tc>
        <w:tc>
          <w:tcPr>
            <w:tcW w:w="4535" w:type="dxa"/>
            <w:vAlign w:val="center"/>
          </w:tcPr>
          <w:p>
            <w:pPr>
              <w:pStyle w:val="10"/>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4535" w:type="dxa"/>
            <w:vAlign w:val="center"/>
          </w:tcPr>
          <w:p>
            <w:pPr>
              <w:pStyle w:val="10"/>
            </w:pPr>
            <w:r>
              <w:t>五、事业收入</w:t>
            </w:r>
          </w:p>
        </w:tc>
        <w:tc>
          <w:tcPr>
            <w:tcW w:w="2126" w:type="dxa"/>
            <w:vAlign w:val="center"/>
          </w:tcPr>
          <w:p>
            <w:pPr>
              <w:pStyle w:val="11"/>
            </w:pPr>
          </w:p>
        </w:tc>
        <w:tc>
          <w:tcPr>
            <w:tcW w:w="4535" w:type="dxa"/>
            <w:vAlign w:val="center"/>
          </w:tcPr>
          <w:p>
            <w:pPr>
              <w:pStyle w:val="10"/>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4535" w:type="dxa"/>
            <w:vAlign w:val="center"/>
          </w:tcPr>
          <w:p>
            <w:pPr>
              <w:pStyle w:val="10"/>
            </w:pPr>
            <w:r>
              <w:t>六、事业单位经营收入</w:t>
            </w:r>
          </w:p>
        </w:tc>
        <w:tc>
          <w:tcPr>
            <w:tcW w:w="2126" w:type="dxa"/>
            <w:vAlign w:val="center"/>
          </w:tcPr>
          <w:p>
            <w:pPr>
              <w:pStyle w:val="11"/>
            </w:pPr>
          </w:p>
        </w:tc>
        <w:tc>
          <w:tcPr>
            <w:tcW w:w="4535" w:type="dxa"/>
            <w:vAlign w:val="center"/>
          </w:tcPr>
          <w:p>
            <w:pPr>
              <w:pStyle w:val="10"/>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4535" w:type="dxa"/>
            <w:vAlign w:val="center"/>
          </w:tcPr>
          <w:p>
            <w:pPr>
              <w:pStyle w:val="10"/>
            </w:pPr>
            <w:r>
              <w:t>七、上级补助收入</w:t>
            </w:r>
          </w:p>
        </w:tc>
        <w:tc>
          <w:tcPr>
            <w:tcW w:w="2126" w:type="dxa"/>
            <w:vAlign w:val="center"/>
          </w:tcPr>
          <w:p>
            <w:pPr>
              <w:pStyle w:val="11"/>
            </w:pPr>
          </w:p>
        </w:tc>
        <w:tc>
          <w:tcPr>
            <w:tcW w:w="4535" w:type="dxa"/>
            <w:vAlign w:val="center"/>
          </w:tcPr>
          <w:p>
            <w:pPr>
              <w:pStyle w:val="10"/>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4535" w:type="dxa"/>
            <w:vAlign w:val="center"/>
          </w:tcPr>
          <w:p>
            <w:pPr>
              <w:pStyle w:val="10"/>
            </w:pPr>
            <w:r>
              <w:t>八、附属单位上缴收入</w:t>
            </w:r>
          </w:p>
        </w:tc>
        <w:tc>
          <w:tcPr>
            <w:tcW w:w="2126" w:type="dxa"/>
            <w:vAlign w:val="center"/>
          </w:tcPr>
          <w:p>
            <w:pPr>
              <w:pStyle w:val="11"/>
            </w:pPr>
          </w:p>
        </w:tc>
        <w:tc>
          <w:tcPr>
            <w:tcW w:w="4535" w:type="dxa"/>
            <w:vAlign w:val="center"/>
          </w:tcPr>
          <w:p>
            <w:pPr>
              <w:pStyle w:val="10"/>
            </w:pPr>
            <w:r>
              <w:t>八、社会保障和就业支出</w:t>
            </w:r>
          </w:p>
        </w:tc>
        <w:tc>
          <w:tcPr>
            <w:tcW w:w="2126" w:type="dxa"/>
            <w:vAlign w:val="center"/>
          </w:tcPr>
          <w:p>
            <w:pPr>
              <w:pStyle w:val="11"/>
            </w:pPr>
            <w:r>
              <w:t>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4535" w:type="dxa"/>
            <w:vAlign w:val="center"/>
          </w:tcPr>
          <w:p>
            <w:pPr>
              <w:pStyle w:val="10"/>
            </w:pPr>
            <w:r>
              <w:t>九、其他收入</w:t>
            </w:r>
          </w:p>
        </w:tc>
        <w:tc>
          <w:tcPr>
            <w:tcW w:w="2126" w:type="dxa"/>
            <w:vAlign w:val="center"/>
          </w:tcPr>
          <w:p>
            <w:pPr>
              <w:pStyle w:val="11"/>
            </w:pPr>
          </w:p>
        </w:tc>
        <w:tc>
          <w:tcPr>
            <w:tcW w:w="4535" w:type="dxa"/>
            <w:vAlign w:val="center"/>
          </w:tcPr>
          <w:p>
            <w:pPr>
              <w:pStyle w:val="10"/>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十、卫生健康支出</w:t>
            </w:r>
          </w:p>
        </w:tc>
        <w:tc>
          <w:tcPr>
            <w:tcW w:w="2126" w:type="dxa"/>
            <w:vAlign w:val="center"/>
          </w:tcPr>
          <w:p>
            <w:pPr>
              <w:pStyle w:val="11"/>
            </w:pPr>
            <w:r>
              <w:t>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十五、资源勘探工业信息等支出</w:t>
            </w:r>
          </w:p>
        </w:tc>
        <w:tc>
          <w:tcPr>
            <w:tcW w:w="2126" w:type="dxa"/>
            <w:vAlign w:val="center"/>
          </w:tcPr>
          <w:p>
            <w:pPr>
              <w:pStyle w:val="11"/>
            </w:pPr>
            <w:r>
              <w:t>82.87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二十、住房保障支出</w:t>
            </w:r>
          </w:p>
        </w:tc>
        <w:tc>
          <w:tcPr>
            <w:tcW w:w="2126" w:type="dxa"/>
            <w:vAlign w:val="center"/>
          </w:tcPr>
          <w:p>
            <w:pPr>
              <w:pStyle w:val="11"/>
            </w:pPr>
            <w:r>
              <w:t>4.91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4535" w:type="dxa"/>
            <w:vAlign w:val="center"/>
          </w:tcPr>
          <w:p>
            <w:pPr>
              <w:pStyle w:val="12"/>
            </w:pPr>
            <w:r>
              <w:t>本年收入合计</w:t>
            </w:r>
          </w:p>
        </w:tc>
        <w:tc>
          <w:tcPr>
            <w:tcW w:w="2126" w:type="dxa"/>
            <w:vAlign w:val="center"/>
          </w:tcPr>
          <w:p>
            <w:pPr>
              <w:pStyle w:val="13"/>
            </w:pPr>
            <w:r>
              <w:t>125.86</w:t>
            </w:r>
          </w:p>
        </w:tc>
        <w:tc>
          <w:tcPr>
            <w:tcW w:w="4535" w:type="dxa"/>
            <w:vAlign w:val="center"/>
          </w:tcPr>
          <w:p>
            <w:pPr>
              <w:pStyle w:val="12"/>
            </w:pPr>
            <w:r>
              <w:t>本年支出合计</w:t>
            </w:r>
          </w:p>
        </w:tc>
        <w:tc>
          <w:tcPr>
            <w:tcW w:w="2126" w:type="dxa"/>
            <w:vAlign w:val="center"/>
          </w:tcPr>
          <w:p>
            <w:pPr>
              <w:pStyle w:val="13"/>
            </w:pPr>
            <w:r>
              <w:t>125.86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4535" w:type="dxa"/>
            <w:vAlign w:val="center"/>
          </w:tcPr>
          <w:p>
            <w:pPr>
              <w:pStyle w:val="10"/>
            </w:pPr>
            <w:r>
              <w:t>上年结转结余</w:t>
            </w:r>
          </w:p>
        </w:tc>
        <w:tc>
          <w:tcPr>
            <w:tcW w:w="2126" w:type="dxa"/>
            <w:vAlign w:val="center"/>
          </w:tcPr>
          <w:p>
            <w:pPr>
              <w:pStyle w:val="11"/>
            </w:pPr>
          </w:p>
        </w:tc>
        <w:tc>
          <w:tcPr>
            <w:tcW w:w="4535" w:type="dxa"/>
            <w:vAlign w:val="center"/>
          </w:tcPr>
          <w:p>
            <w:pPr>
              <w:pStyle w:val="10"/>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4535" w:type="dxa"/>
            <w:vAlign w:val="center"/>
          </w:tcPr>
          <w:p>
            <w:pPr>
              <w:pStyle w:val="12"/>
            </w:pPr>
            <w:r>
              <w:t>收入总计</w:t>
            </w:r>
          </w:p>
        </w:tc>
        <w:tc>
          <w:tcPr>
            <w:tcW w:w="2126" w:type="dxa"/>
            <w:vAlign w:val="center"/>
          </w:tcPr>
          <w:p>
            <w:pPr>
              <w:pStyle w:val="13"/>
            </w:pPr>
            <w:r>
              <w:t>125.86</w:t>
            </w:r>
          </w:p>
        </w:tc>
        <w:tc>
          <w:tcPr>
            <w:tcW w:w="4535" w:type="dxa"/>
            <w:vAlign w:val="center"/>
          </w:tcPr>
          <w:p>
            <w:pPr>
              <w:pStyle w:val="12"/>
            </w:pPr>
            <w:r>
              <w:t>支出总计</w:t>
            </w:r>
          </w:p>
        </w:tc>
        <w:tc>
          <w:tcPr>
            <w:tcW w:w="2126" w:type="dxa"/>
            <w:vAlign w:val="center"/>
          </w:tcPr>
          <w:p>
            <w:pPr>
              <w:pStyle w:val="13"/>
            </w:pPr>
            <w:r>
              <w:t>125.86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5"/>
            </w:pPr>
            <w:r>
              <w:t>381001秦皇岛经济技术开发区国有资产监督管理办公室（本级）</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1"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125.86</w:t>
            </w:r>
          </w:p>
        </w:tc>
        <w:tc>
          <w:tcPr>
            <w:tcW w:w="1134" w:type="dxa"/>
            <w:vAlign w:val="center"/>
          </w:tcPr>
          <w:p>
            <w:pPr>
              <w:pStyle w:val="13"/>
            </w:pPr>
            <w:r>
              <w:t>125.86</w:t>
            </w:r>
          </w:p>
        </w:tc>
        <w:tc>
          <w:tcPr>
            <w:tcW w:w="1134" w:type="dxa"/>
            <w:vAlign w:val="center"/>
          </w:tcPr>
          <w:p>
            <w:pPr>
              <w:pStyle w:val="13"/>
            </w:pPr>
            <w:r>
              <w:t>125.86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3</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4</w:t>
            </w:r>
          </w:p>
        </w:tc>
        <w:tc>
          <w:tcPr>
            <w:tcW w:w="992" w:type="dxa"/>
            <w:vAlign w:val="center"/>
          </w:tcPr>
          <w:p>
            <w:pPr>
              <w:pStyle w:val="10"/>
            </w:pPr>
            <w:r>
              <w:t>2010399</w:t>
            </w:r>
          </w:p>
        </w:tc>
        <w:tc>
          <w:tcPr>
            <w:tcW w:w="1559" w:type="dxa"/>
            <w:vAlign w:val="center"/>
          </w:tcPr>
          <w:p>
            <w:pPr>
              <w:pStyle w:val="10"/>
            </w:pPr>
            <w:r>
              <w:t>其他政府办公厅（室）及相关机构事务支出</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5</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11"/>
            </w:pPr>
            <w:r>
              <w:t>6.54</w:t>
            </w:r>
          </w:p>
        </w:tc>
        <w:tc>
          <w:tcPr>
            <w:tcW w:w="1134" w:type="dxa"/>
            <w:vAlign w:val="center"/>
          </w:tcPr>
          <w:p>
            <w:pPr>
              <w:pStyle w:val="11"/>
            </w:pPr>
            <w:r>
              <w:t>6.54</w:t>
            </w:r>
          </w:p>
        </w:tc>
        <w:tc>
          <w:tcPr>
            <w:tcW w:w="1134" w:type="dxa"/>
            <w:vAlign w:val="center"/>
          </w:tcPr>
          <w:p>
            <w:pPr>
              <w:pStyle w:val="11"/>
            </w:pPr>
            <w:r>
              <w:t>6.54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6</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11"/>
            </w:pPr>
            <w:r>
              <w:t>6.54</w:t>
            </w:r>
          </w:p>
        </w:tc>
        <w:tc>
          <w:tcPr>
            <w:tcW w:w="1134" w:type="dxa"/>
            <w:vAlign w:val="center"/>
          </w:tcPr>
          <w:p>
            <w:pPr>
              <w:pStyle w:val="11"/>
            </w:pPr>
            <w:r>
              <w:t>6.54</w:t>
            </w:r>
          </w:p>
        </w:tc>
        <w:tc>
          <w:tcPr>
            <w:tcW w:w="1134" w:type="dxa"/>
            <w:vAlign w:val="center"/>
          </w:tcPr>
          <w:p>
            <w:pPr>
              <w:pStyle w:val="11"/>
            </w:pPr>
            <w:r>
              <w:t>6.54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7</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11"/>
            </w:pPr>
            <w:r>
              <w:t>6.54</w:t>
            </w:r>
          </w:p>
        </w:tc>
        <w:tc>
          <w:tcPr>
            <w:tcW w:w="1134" w:type="dxa"/>
            <w:vAlign w:val="center"/>
          </w:tcPr>
          <w:p>
            <w:pPr>
              <w:pStyle w:val="11"/>
            </w:pPr>
            <w:r>
              <w:t>6.54</w:t>
            </w:r>
          </w:p>
        </w:tc>
        <w:tc>
          <w:tcPr>
            <w:tcW w:w="1134" w:type="dxa"/>
            <w:vAlign w:val="center"/>
          </w:tcPr>
          <w:p>
            <w:pPr>
              <w:pStyle w:val="11"/>
            </w:pPr>
            <w:r>
              <w:t>6.54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8</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11"/>
            </w:pPr>
            <w:r>
              <w:t>6.54</w:t>
            </w:r>
          </w:p>
        </w:tc>
        <w:tc>
          <w:tcPr>
            <w:tcW w:w="1134" w:type="dxa"/>
            <w:vAlign w:val="center"/>
          </w:tcPr>
          <w:p>
            <w:pPr>
              <w:pStyle w:val="11"/>
            </w:pPr>
            <w:r>
              <w:t>6.54</w:t>
            </w:r>
          </w:p>
        </w:tc>
        <w:tc>
          <w:tcPr>
            <w:tcW w:w="1134" w:type="dxa"/>
            <w:vAlign w:val="center"/>
          </w:tcPr>
          <w:p>
            <w:pPr>
              <w:pStyle w:val="11"/>
            </w:pPr>
            <w:r>
              <w:t>6.54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9</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11"/>
            </w:pPr>
            <w:r>
              <w:t>6.54</w:t>
            </w:r>
          </w:p>
        </w:tc>
        <w:tc>
          <w:tcPr>
            <w:tcW w:w="1134" w:type="dxa"/>
            <w:vAlign w:val="center"/>
          </w:tcPr>
          <w:p>
            <w:pPr>
              <w:pStyle w:val="11"/>
            </w:pPr>
            <w:r>
              <w:t>6.54</w:t>
            </w:r>
          </w:p>
        </w:tc>
        <w:tc>
          <w:tcPr>
            <w:tcW w:w="1134" w:type="dxa"/>
            <w:vAlign w:val="center"/>
          </w:tcPr>
          <w:p>
            <w:pPr>
              <w:pStyle w:val="11"/>
            </w:pPr>
            <w:r>
              <w:t>6.54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10</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11"/>
            </w:pPr>
            <w:r>
              <w:t>3.27</w:t>
            </w:r>
          </w:p>
        </w:tc>
        <w:tc>
          <w:tcPr>
            <w:tcW w:w="1134" w:type="dxa"/>
            <w:vAlign w:val="center"/>
          </w:tcPr>
          <w:p>
            <w:pPr>
              <w:pStyle w:val="11"/>
            </w:pPr>
            <w:r>
              <w:t>3.27</w:t>
            </w:r>
          </w:p>
        </w:tc>
        <w:tc>
          <w:tcPr>
            <w:tcW w:w="1134" w:type="dxa"/>
            <w:vAlign w:val="center"/>
          </w:tcPr>
          <w:p>
            <w:pPr>
              <w:pStyle w:val="11"/>
            </w:pPr>
            <w:r>
              <w:t>3.27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11</w:t>
            </w:r>
          </w:p>
        </w:tc>
        <w:tc>
          <w:tcPr>
            <w:tcW w:w="992" w:type="dxa"/>
            <w:vAlign w:val="center"/>
          </w:tcPr>
          <w:p>
            <w:pPr>
              <w:pStyle w:val="10"/>
            </w:pPr>
            <w:r>
              <w:t>2101103</w:t>
            </w:r>
          </w:p>
        </w:tc>
        <w:tc>
          <w:tcPr>
            <w:tcW w:w="1559" w:type="dxa"/>
            <w:vAlign w:val="center"/>
          </w:tcPr>
          <w:p>
            <w:pPr>
              <w:pStyle w:val="10"/>
            </w:pPr>
            <w:r>
              <w:t>公务员医疗补助</w:t>
            </w:r>
          </w:p>
        </w:tc>
        <w:tc>
          <w:tcPr>
            <w:tcW w:w="1134" w:type="dxa"/>
            <w:vAlign w:val="center"/>
          </w:tcPr>
          <w:p>
            <w:pPr>
              <w:pStyle w:val="11"/>
            </w:pPr>
            <w:r>
              <w:t>3.27</w:t>
            </w:r>
          </w:p>
        </w:tc>
        <w:tc>
          <w:tcPr>
            <w:tcW w:w="1134" w:type="dxa"/>
            <w:vAlign w:val="center"/>
          </w:tcPr>
          <w:p>
            <w:pPr>
              <w:pStyle w:val="11"/>
            </w:pPr>
            <w:r>
              <w:t>3.27</w:t>
            </w:r>
          </w:p>
        </w:tc>
        <w:tc>
          <w:tcPr>
            <w:tcW w:w="1134" w:type="dxa"/>
            <w:vAlign w:val="center"/>
          </w:tcPr>
          <w:p>
            <w:pPr>
              <w:pStyle w:val="11"/>
            </w:pPr>
            <w:r>
              <w:t>3.27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12</w:t>
            </w:r>
          </w:p>
        </w:tc>
        <w:tc>
          <w:tcPr>
            <w:tcW w:w="992" w:type="dxa"/>
            <w:vAlign w:val="center"/>
          </w:tcPr>
          <w:p>
            <w:pPr>
              <w:pStyle w:val="10"/>
            </w:pPr>
            <w:r>
              <w:t>215</w:t>
            </w:r>
          </w:p>
        </w:tc>
        <w:tc>
          <w:tcPr>
            <w:tcW w:w="1559" w:type="dxa"/>
            <w:vAlign w:val="center"/>
          </w:tcPr>
          <w:p>
            <w:pPr>
              <w:pStyle w:val="10"/>
            </w:pPr>
            <w:r>
              <w:t>资源勘探工业信息等支出</w:t>
            </w:r>
          </w:p>
        </w:tc>
        <w:tc>
          <w:tcPr>
            <w:tcW w:w="1134" w:type="dxa"/>
            <w:vAlign w:val="center"/>
          </w:tcPr>
          <w:p>
            <w:pPr>
              <w:pStyle w:val="11"/>
            </w:pPr>
            <w:r>
              <w:t>82.87</w:t>
            </w:r>
          </w:p>
        </w:tc>
        <w:tc>
          <w:tcPr>
            <w:tcW w:w="1134" w:type="dxa"/>
            <w:vAlign w:val="center"/>
          </w:tcPr>
          <w:p>
            <w:pPr>
              <w:pStyle w:val="11"/>
            </w:pPr>
            <w:r>
              <w:t>82.87</w:t>
            </w:r>
          </w:p>
        </w:tc>
        <w:tc>
          <w:tcPr>
            <w:tcW w:w="1134" w:type="dxa"/>
            <w:vAlign w:val="center"/>
          </w:tcPr>
          <w:p>
            <w:pPr>
              <w:pStyle w:val="11"/>
            </w:pPr>
            <w:r>
              <w:t>82.87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13</w:t>
            </w:r>
          </w:p>
        </w:tc>
        <w:tc>
          <w:tcPr>
            <w:tcW w:w="992" w:type="dxa"/>
            <w:vAlign w:val="center"/>
          </w:tcPr>
          <w:p>
            <w:pPr>
              <w:pStyle w:val="10"/>
            </w:pPr>
            <w:r>
              <w:t>21507</w:t>
            </w:r>
          </w:p>
        </w:tc>
        <w:tc>
          <w:tcPr>
            <w:tcW w:w="1559" w:type="dxa"/>
            <w:vAlign w:val="center"/>
          </w:tcPr>
          <w:p>
            <w:pPr>
              <w:pStyle w:val="10"/>
            </w:pPr>
            <w:r>
              <w:t>国有资产监管</w:t>
            </w:r>
          </w:p>
        </w:tc>
        <w:tc>
          <w:tcPr>
            <w:tcW w:w="1134" w:type="dxa"/>
            <w:vAlign w:val="center"/>
          </w:tcPr>
          <w:p>
            <w:pPr>
              <w:pStyle w:val="11"/>
            </w:pPr>
            <w:r>
              <w:t>82.87</w:t>
            </w:r>
          </w:p>
        </w:tc>
        <w:tc>
          <w:tcPr>
            <w:tcW w:w="1134" w:type="dxa"/>
            <w:vAlign w:val="center"/>
          </w:tcPr>
          <w:p>
            <w:pPr>
              <w:pStyle w:val="11"/>
            </w:pPr>
            <w:r>
              <w:t>82.87</w:t>
            </w:r>
          </w:p>
        </w:tc>
        <w:tc>
          <w:tcPr>
            <w:tcW w:w="1134" w:type="dxa"/>
            <w:vAlign w:val="center"/>
          </w:tcPr>
          <w:p>
            <w:pPr>
              <w:pStyle w:val="11"/>
            </w:pPr>
            <w:r>
              <w:t>82.87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14</w:t>
            </w:r>
          </w:p>
        </w:tc>
        <w:tc>
          <w:tcPr>
            <w:tcW w:w="992" w:type="dxa"/>
            <w:vAlign w:val="center"/>
          </w:tcPr>
          <w:p>
            <w:pPr>
              <w:pStyle w:val="10"/>
            </w:pPr>
            <w:r>
              <w:t>2150701</w:t>
            </w:r>
          </w:p>
        </w:tc>
        <w:tc>
          <w:tcPr>
            <w:tcW w:w="1559" w:type="dxa"/>
            <w:vAlign w:val="center"/>
          </w:tcPr>
          <w:p>
            <w:pPr>
              <w:pStyle w:val="10"/>
            </w:pPr>
            <w:r>
              <w:t>行政运行</w:t>
            </w:r>
          </w:p>
        </w:tc>
        <w:tc>
          <w:tcPr>
            <w:tcW w:w="1134" w:type="dxa"/>
            <w:vAlign w:val="center"/>
          </w:tcPr>
          <w:p>
            <w:pPr>
              <w:pStyle w:val="11"/>
            </w:pPr>
            <w:r>
              <w:t>82.87</w:t>
            </w:r>
          </w:p>
        </w:tc>
        <w:tc>
          <w:tcPr>
            <w:tcW w:w="1134" w:type="dxa"/>
            <w:vAlign w:val="center"/>
          </w:tcPr>
          <w:p>
            <w:pPr>
              <w:pStyle w:val="11"/>
            </w:pPr>
            <w:r>
              <w:t>82.87</w:t>
            </w:r>
          </w:p>
        </w:tc>
        <w:tc>
          <w:tcPr>
            <w:tcW w:w="1134" w:type="dxa"/>
            <w:vAlign w:val="center"/>
          </w:tcPr>
          <w:p>
            <w:pPr>
              <w:pStyle w:val="11"/>
            </w:pPr>
            <w:r>
              <w:t>82.87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15</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16</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17</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5"/>
            </w:pPr>
            <w:r>
              <w:t>381001秦皇岛经济技术开发区国有资产监督管理办公室（本级）</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125.86</w:t>
            </w:r>
          </w:p>
        </w:tc>
        <w:tc>
          <w:tcPr>
            <w:tcW w:w="1361" w:type="dxa"/>
            <w:vAlign w:val="center"/>
          </w:tcPr>
          <w:p>
            <w:pPr>
              <w:pStyle w:val="13"/>
            </w:pPr>
            <w:r>
              <w:t>100.86</w:t>
            </w: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992" w:type="dxa"/>
            <w:vAlign w:val="center"/>
          </w:tcPr>
          <w:p>
            <w:pPr>
              <w:pStyle w:val="10"/>
            </w:pPr>
            <w:r>
              <w:t>20103</w:t>
            </w:r>
          </w:p>
        </w:tc>
        <w:tc>
          <w:tcPr>
            <w:tcW w:w="4535" w:type="dxa"/>
            <w:vAlign w:val="center"/>
          </w:tcPr>
          <w:p>
            <w:pPr>
              <w:pStyle w:val="10"/>
            </w:pPr>
            <w:r>
              <w:t>政府办公厅（室）及相关机构事务</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992" w:type="dxa"/>
            <w:vAlign w:val="center"/>
          </w:tcPr>
          <w:p>
            <w:pPr>
              <w:pStyle w:val="10"/>
            </w:pPr>
            <w:r>
              <w:t>2010399</w:t>
            </w:r>
          </w:p>
        </w:tc>
        <w:tc>
          <w:tcPr>
            <w:tcW w:w="4535" w:type="dxa"/>
            <w:vAlign w:val="center"/>
          </w:tcPr>
          <w:p>
            <w:pPr>
              <w:pStyle w:val="10"/>
            </w:pPr>
            <w:r>
              <w:t>其他政府办公厅（室）及相关机构事务支出</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11"/>
            </w:pPr>
            <w:r>
              <w:t>6.54</w:t>
            </w:r>
          </w:p>
        </w:tc>
        <w:tc>
          <w:tcPr>
            <w:tcW w:w="1361" w:type="dxa"/>
            <w:vAlign w:val="center"/>
          </w:tcPr>
          <w:p>
            <w:pPr>
              <w:pStyle w:val="11"/>
            </w:pPr>
            <w:r>
              <w:t>6.54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11"/>
            </w:pPr>
            <w:r>
              <w:t>6.54</w:t>
            </w:r>
          </w:p>
        </w:tc>
        <w:tc>
          <w:tcPr>
            <w:tcW w:w="1361" w:type="dxa"/>
            <w:vAlign w:val="center"/>
          </w:tcPr>
          <w:p>
            <w:pPr>
              <w:pStyle w:val="11"/>
            </w:pPr>
            <w:r>
              <w:t>6.54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11"/>
            </w:pPr>
            <w:r>
              <w:t>6.54</w:t>
            </w:r>
          </w:p>
        </w:tc>
        <w:tc>
          <w:tcPr>
            <w:tcW w:w="1361" w:type="dxa"/>
            <w:vAlign w:val="center"/>
          </w:tcPr>
          <w:p>
            <w:pPr>
              <w:pStyle w:val="11"/>
            </w:pPr>
            <w:r>
              <w:t>6.54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11"/>
            </w:pPr>
            <w:r>
              <w:t>6.54</w:t>
            </w:r>
          </w:p>
        </w:tc>
        <w:tc>
          <w:tcPr>
            <w:tcW w:w="1361" w:type="dxa"/>
            <w:vAlign w:val="center"/>
          </w:tcPr>
          <w:p>
            <w:pPr>
              <w:pStyle w:val="11"/>
            </w:pPr>
            <w:r>
              <w:t>6.54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11"/>
            </w:pPr>
            <w:r>
              <w:t>6.54</w:t>
            </w:r>
          </w:p>
        </w:tc>
        <w:tc>
          <w:tcPr>
            <w:tcW w:w="1361" w:type="dxa"/>
            <w:vAlign w:val="center"/>
          </w:tcPr>
          <w:p>
            <w:pPr>
              <w:pStyle w:val="11"/>
            </w:pPr>
            <w:r>
              <w:t>6.54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11"/>
            </w:pPr>
            <w:r>
              <w:t>3.27</w:t>
            </w:r>
          </w:p>
        </w:tc>
        <w:tc>
          <w:tcPr>
            <w:tcW w:w="1361" w:type="dxa"/>
            <w:vAlign w:val="center"/>
          </w:tcPr>
          <w:p>
            <w:pPr>
              <w:pStyle w:val="11"/>
            </w:pPr>
            <w:r>
              <w:t>3.27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992" w:type="dxa"/>
            <w:vAlign w:val="center"/>
          </w:tcPr>
          <w:p>
            <w:pPr>
              <w:pStyle w:val="10"/>
            </w:pPr>
            <w:r>
              <w:t>2101103</w:t>
            </w:r>
          </w:p>
        </w:tc>
        <w:tc>
          <w:tcPr>
            <w:tcW w:w="4535" w:type="dxa"/>
            <w:vAlign w:val="center"/>
          </w:tcPr>
          <w:p>
            <w:pPr>
              <w:pStyle w:val="10"/>
            </w:pPr>
            <w:r>
              <w:t>公务员医疗补助</w:t>
            </w:r>
          </w:p>
        </w:tc>
        <w:tc>
          <w:tcPr>
            <w:tcW w:w="1361" w:type="dxa"/>
            <w:vAlign w:val="center"/>
          </w:tcPr>
          <w:p>
            <w:pPr>
              <w:pStyle w:val="11"/>
            </w:pPr>
            <w:r>
              <w:t>3.27</w:t>
            </w:r>
          </w:p>
        </w:tc>
        <w:tc>
          <w:tcPr>
            <w:tcW w:w="1361" w:type="dxa"/>
            <w:vAlign w:val="center"/>
          </w:tcPr>
          <w:p>
            <w:pPr>
              <w:pStyle w:val="11"/>
            </w:pPr>
            <w:r>
              <w:t>3.27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992" w:type="dxa"/>
            <w:vAlign w:val="center"/>
          </w:tcPr>
          <w:p>
            <w:pPr>
              <w:pStyle w:val="10"/>
            </w:pPr>
            <w:r>
              <w:t>215</w:t>
            </w:r>
          </w:p>
        </w:tc>
        <w:tc>
          <w:tcPr>
            <w:tcW w:w="4535" w:type="dxa"/>
            <w:vAlign w:val="center"/>
          </w:tcPr>
          <w:p>
            <w:pPr>
              <w:pStyle w:val="10"/>
            </w:pPr>
            <w:r>
              <w:t>资源勘探工业信息等支出</w:t>
            </w:r>
          </w:p>
        </w:tc>
        <w:tc>
          <w:tcPr>
            <w:tcW w:w="1361" w:type="dxa"/>
            <w:vAlign w:val="center"/>
          </w:tcPr>
          <w:p>
            <w:pPr>
              <w:pStyle w:val="11"/>
            </w:pPr>
            <w:r>
              <w:t>82.87</w:t>
            </w:r>
          </w:p>
        </w:tc>
        <w:tc>
          <w:tcPr>
            <w:tcW w:w="1361" w:type="dxa"/>
            <w:vAlign w:val="center"/>
          </w:tcPr>
          <w:p>
            <w:pPr>
              <w:pStyle w:val="11"/>
            </w:pPr>
            <w:r>
              <w:t>82.87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992" w:type="dxa"/>
            <w:vAlign w:val="center"/>
          </w:tcPr>
          <w:p>
            <w:pPr>
              <w:pStyle w:val="10"/>
            </w:pPr>
            <w:r>
              <w:t>21507</w:t>
            </w:r>
          </w:p>
        </w:tc>
        <w:tc>
          <w:tcPr>
            <w:tcW w:w="4535" w:type="dxa"/>
            <w:vAlign w:val="center"/>
          </w:tcPr>
          <w:p>
            <w:pPr>
              <w:pStyle w:val="10"/>
            </w:pPr>
            <w:r>
              <w:t>国有资产监管</w:t>
            </w:r>
          </w:p>
        </w:tc>
        <w:tc>
          <w:tcPr>
            <w:tcW w:w="1361" w:type="dxa"/>
            <w:vAlign w:val="center"/>
          </w:tcPr>
          <w:p>
            <w:pPr>
              <w:pStyle w:val="11"/>
            </w:pPr>
            <w:r>
              <w:t>82.87</w:t>
            </w:r>
          </w:p>
        </w:tc>
        <w:tc>
          <w:tcPr>
            <w:tcW w:w="1361" w:type="dxa"/>
            <w:vAlign w:val="center"/>
          </w:tcPr>
          <w:p>
            <w:pPr>
              <w:pStyle w:val="11"/>
            </w:pPr>
            <w:r>
              <w:t>82.87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992" w:type="dxa"/>
            <w:vAlign w:val="center"/>
          </w:tcPr>
          <w:p>
            <w:pPr>
              <w:pStyle w:val="10"/>
            </w:pPr>
            <w:r>
              <w:t>2150701</w:t>
            </w:r>
          </w:p>
        </w:tc>
        <w:tc>
          <w:tcPr>
            <w:tcW w:w="4535" w:type="dxa"/>
            <w:vAlign w:val="center"/>
          </w:tcPr>
          <w:p>
            <w:pPr>
              <w:pStyle w:val="10"/>
            </w:pPr>
            <w:r>
              <w:t>行政运行</w:t>
            </w:r>
          </w:p>
        </w:tc>
        <w:tc>
          <w:tcPr>
            <w:tcW w:w="1361" w:type="dxa"/>
            <w:vAlign w:val="center"/>
          </w:tcPr>
          <w:p>
            <w:pPr>
              <w:pStyle w:val="11"/>
            </w:pPr>
            <w:r>
              <w:t>82.87</w:t>
            </w:r>
          </w:p>
        </w:tc>
        <w:tc>
          <w:tcPr>
            <w:tcW w:w="1361" w:type="dxa"/>
            <w:vAlign w:val="center"/>
          </w:tcPr>
          <w:p>
            <w:pPr>
              <w:pStyle w:val="11"/>
            </w:pPr>
            <w:r>
              <w:t>82.87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11"/>
            </w:pPr>
            <w:r>
              <w:t>4.91</w:t>
            </w:r>
          </w:p>
        </w:tc>
        <w:tc>
          <w:tcPr>
            <w:tcW w:w="1361" w:type="dxa"/>
            <w:vAlign w:val="center"/>
          </w:tcPr>
          <w:p>
            <w:pPr>
              <w:pStyle w:val="11"/>
            </w:pPr>
            <w:r>
              <w:t>4.91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11"/>
            </w:pPr>
            <w:r>
              <w:t>4.91</w:t>
            </w:r>
          </w:p>
        </w:tc>
        <w:tc>
          <w:tcPr>
            <w:tcW w:w="1361" w:type="dxa"/>
            <w:vAlign w:val="center"/>
          </w:tcPr>
          <w:p>
            <w:pPr>
              <w:pStyle w:val="11"/>
            </w:pPr>
            <w:r>
              <w:t>4.91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11"/>
            </w:pPr>
            <w:r>
              <w:t>4.91</w:t>
            </w:r>
          </w:p>
        </w:tc>
        <w:tc>
          <w:tcPr>
            <w:tcW w:w="1361" w:type="dxa"/>
            <w:vAlign w:val="center"/>
          </w:tcPr>
          <w:p>
            <w:pPr>
              <w:pStyle w:val="11"/>
            </w:pPr>
            <w:r>
              <w:t>4.91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5"/>
            </w:pPr>
            <w:r>
              <w:t>381001秦皇岛经济技术开发区国有资产监督管理办公室（本级）</w:t>
            </w:r>
          </w:p>
        </w:tc>
        <w:tc>
          <w:tcPr>
            <w:tcW w:w="3402" w:type="dxa"/>
            <w:tcBorders>
              <w:top w:val="single" w:color="FFFFFF" w:sz="6" w:space="0"/>
              <w:left w:val="single" w:color="FFFFFF" w:sz="6" w:space="0"/>
              <w:right w:val="single" w:color="FFFFFF" w:sz="6" w:space="0"/>
            </w:tcBorders>
            <w:vAlign w:val="center"/>
          </w:tcPr>
          <w:p>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3402" w:type="dxa"/>
            <w:vAlign w:val="center"/>
          </w:tcPr>
          <w:p>
            <w:pPr>
              <w:pStyle w:val="10"/>
            </w:pPr>
            <w:r>
              <w:t>一、一般公共预算拨款</w:t>
            </w:r>
          </w:p>
        </w:tc>
        <w:tc>
          <w:tcPr>
            <w:tcW w:w="1474" w:type="dxa"/>
            <w:vAlign w:val="center"/>
          </w:tcPr>
          <w:p>
            <w:pPr>
              <w:pStyle w:val="11"/>
            </w:pPr>
            <w:r>
              <w:t>125.86</w:t>
            </w:r>
          </w:p>
        </w:tc>
        <w:tc>
          <w:tcPr>
            <w:tcW w:w="3402" w:type="dxa"/>
            <w:vAlign w:val="center"/>
          </w:tcPr>
          <w:p>
            <w:pPr>
              <w:pStyle w:val="10"/>
            </w:pPr>
            <w:r>
              <w:t>一、一般公共服务支出</w:t>
            </w:r>
          </w:p>
        </w:tc>
        <w:tc>
          <w:tcPr>
            <w:tcW w:w="1474" w:type="dxa"/>
            <w:vAlign w:val="center"/>
          </w:tcPr>
          <w:p>
            <w:pPr>
              <w:pStyle w:val="11"/>
            </w:pPr>
            <w:r>
              <w:t>25.00</w:t>
            </w:r>
          </w:p>
        </w:tc>
        <w:tc>
          <w:tcPr>
            <w:tcW w:w="1474" w:type="dxa"/>
            <w:vAlign w:val="center"/>
          </w:tcPr>
          <w:p>
            <w:pPr>
              <w:pStyle w:val="11"/>
            </w:pPr>
            <w:r>
              <w:t>25.00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八、社会保障和就业支出</w:t>
            </w:r>
          </w:p>
        </w:tc>
        <w:tc>
          <w:tcPr>
            <w:tcW w:w="1474" w:type="dxa"/>
            <w:vAlign w:val="center"/>
          </w:tcPr>
          <w:p>
            <w:pPr>
              <w:pStyle w:val="11"/>
            </w:pPr>
            <w:r>
              <w:t>6.54</w:t>
            </w:r>
          </w:p>
        </w:tc>
        <w:tc>
          <w:tcPr>
            <w:tcW w:w="1474" w:type="dxa"/>
            <w:vAlign w:val="center"/>
          </w:tcPr>
          <w:p>
            <w:pPr>
              <w:pStyle w:val="11"/>
            </w:pPr>
            <w:r>
              <w:t>6.54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十、卫生健康支出</w:t>
            </w:r>
          </w:p>
        </w:tc>
        <w:tc>
          <w:tcPr>
            <w:tcW w:w="1474" w:type="dxa"/>
            <w:vAlign w:val="center"/>
          </w:tcPr>
          <w:p>
            <w:pPr>
              <w:pStyle w:val="11"/>
            </w:pPr>
            <w:r>
              <w:t>6.54</w:t>
            </w:r>
          </w:p>
        </w:tc>
        <w:tc>
          <w:tcPr>
            <w:tcW w:w="1474" w:type="dxa"/>
            <w:vAlign w:val="center"/>
          </w:tcPr>
          <w:p>
            <w:pPr>
              <w:pStyle w:val="11"/>
            </w:pPr>
            <w:r>
              <w:t>6.54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十五、资源勘探工业信息等支出</w:t>
            </w:r>
          </w:p>
        </w:tc>
        <w:tc>
          <w:tcPr>
            <w:tcW w:w="1474" w:type="dxa"/>
            <w:vAlign w:val="center"/>
          </w:tcPr>
          <w:p>
            <w:pPr>
              <w:pStyle w:val="11"/>
            </w:pPr>
            <w:r>
              <w:t>82.87</w:t>
            </w:r>
          </w:p>
        </w:tc>
        <w:tc>
          <w:tcPr>
            <w:tcW w:w="1474" w:type="dxa"/>
            <w:vAlign w:val="center"/>
          </w:tcPr>
          <w:p>
            <w:pPr>
              <w:pStyle w:val="11"/>
            </w:pPr>
            <w:r>
              <w:t>82.87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二十、住房保障支出</w:t>
            </w:r>
          </w:p>
        </w:tc>
        <w:tc>
          <w:tcPr>
            <w:tcW w:w="1474" w:type="dxa"/>
            <w:vAlign w:val="center"/>
          </w:tcPr>
          <w:p>
            <w:pPr>
              <w:pStyle w:val="11"/>
            </w:pPr>
            <w:r>
              <w:t>4.91</w:t>
            </w:r>
          </w:p>
        </w:tc>
        <w:tc>
          <w:tcPr>
            <w:tcW w:w="1474" w:type="dxa"/>
            <w:vAlign w:val="center"/>
          </w:tcPr>
          <w:p>
            <w:pPr>
              <w:pStyle w:val="11"/>
            </w:pPr>
            <w:r>
              <w:t>4.91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3402" w:type="dxa"/>
            <w:vAlign w:val="center"/>
          </w:tcPr>
          <w:p>
            <w:pPr>
              <w:pStyle w:val="12"/>
            </w:pPr>
            <w:r>
              <w:t>本年收入合计</w:t>
            </w:r>
          </w:p>
        </w:tc>
        <w:tc>
          <w:tcPr>
            <w:tcW w:w="1474" w:type="dxa"/>
            <w:vAlign w:val="center"/>
          </w:tcPr>
          <w:p>
            <w:pPr>
              <w:pStyle w:val="13"/>
            </w:pPr>
            <w:r>
              <w:t>125.86</w:t>
            </w:r>
          </w:p>
        </w:tc>
        <w:tc>
          <w:tcPr>
            <w:tcW w:w="3402" w:type="dxa"/>
            <w:vAlign w:val="center"/>
          </w:tcPr>
          <w:p>
            <w:pPr>
              <w:pStyle w:val="12"/>
            </w:pPr>
            <w:r>
              <w:t>本年支出合计</w:t>
            </w:r>
          </w:p>
        </w:tc>
        <w:tc>
          <w:tcPr>
            <w:tcW w:w="1474" w:type="dxa"/>
            <w:vAlign w:val="center"/>
          </w:tcPr>
          <w:p>
            <w:pPr>
              <w:pStyle w:val="13"/>
            </w:pPr>
            <w:r>
              <w:t>125.86</w:t>
            </w:r>
          </w:p>
        </w:tc>
        <w:tc>
          <w:tcPr>
            <w:tcW w:w="1474" w:type="dxa"/>
            <w:vAlign w:val="center"/>
          </w:tcPr>
          <w:p>
            <w:pPr>
              <w:pStyle w:val="13"/>
            </w:pPr>
            <w:r>
              <w:t>125.86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3402" w:type="dxa"/>
            <w:vAlign w:val="center"/>
          </w:tcPr>
          <w:p>
            <w:pPr>
              <w:pStyle w:val="10"/>
            </w:pPr>
            <w:r>
              <w:t>年初财政拨款结转和结余</w:t>
            </w:r>
          </w:p>
        </w:tc>
        <w:tc>
          <w:tcPr>
            <w:tcW w:w="1474" w:type="dxa"/>
            <w:vAlign w:val="center"/>
          </w:tcPr>
          <w:p>
            <w:pPr>
              <w:pStyle w:val="11"/>
            </w:pPr>
          </w:p>
        </w:tc>
        <w:tc>
          <w:tcPr>
            <w:tcW w:w="3402" w:type="dxa"/>
            <w:vAlign w:val="center"/>
          </w:tcPr>
          <w:p>
            <w:pPr>
              <w:pStyle w:val="10"/>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3402" w:type="dxa"/>
            <w:vAlign w:val="center"/>
          </w:tcPr>
          <w:p>
            <w:pPr>
              <w:pStyle w:val="10"/>
            </w:pPr>
            <w:r>
              <w:t>一、一般公共预算拨款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35</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36</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37</w:t>
            </w:r>
          </w:p>
        </w:tc>
        <w:tc>
          <w:tcPr>
            <w:tcW w:w="3402" w:type="dxa"/>
            <w:vAlign w:val="center"/>
          </w:tcPr>
          <w:p>
            <w:pPr>
              <w:pStyle w:val="12"/>
            </w:pPr>
            <w:r>
              <w:t>收入总计</w:t>
            </w:r>
          </w:p>
        </w:tc>
        <w:tc>
          <w:tcPr>
            <w:tcW w:w="1474" w:type="dxa"/>
            <w:vAlign w:val="center"/>
          </w:tcPr>
          <w:p>
            <w:pPr>
              <w:pStyle w:val="13"/>
            </w:pPr>
            <w:r>
              <w:t>125.86</w:t>
            </w:r>
          </w:p>
        </w:tc>
        <w:tc>
          <w:tcPr>
            <w:tcW w:w="3402" w:type="dxa"/>
            <w:vAlign w:val="center"/>
          </w:tcPr>
          <w:p>
            <w:pPr>
              <w:pStyle w:val="12"/>
            </w:pPr>
            <w:r>
              <w:t>支出总计</w:t>
            </w:r>
          </w:p>
        </w:tc>
        <w:tc>
          <w:tcPr>
            <w:tcW w:w="1474" w:type="dxa"/>
            <w:vAlign w:val="center"/>
          </w:tcPr>
          <w:p>
            <w:pPr>
              <w:pStyle w:val="13"/>
            </w:pPr>
            <w:r>
              <w:t>125.86</w:t>
            </w:r>
          </w:p>
        </w:tc>
        <w:tc>
          <w:tcPr>
            <w:tcW w:w="1474" w:type="dxa"/>
            <w:vAlign w:val="center"/>
          </w:tcPr>
          <w:p>
            <w:pPr>
              <w:pStyle w:val="13"/>
            </w:pPr>
            <w:r>
              <w:t>125.86</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381001秦皇岛经济技术开发区国有资产监督管理办公室（本级）</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125.86</w:t>
            </w:r>
          </w:p>
        </w:tc>
        <w:tc>
          <w:tcPr>
            <w:tcW w:w="2551" w:type="dxa"/>
            <w:vAlign w:val="center"/>
          </w:tcPr>
          <w:p>
            <w:pPr>
              <w:pStyle w:val="13"/>
            </w:pPr>
            <w:r>
              <w:t>100.86</w:t>
            </w:r>
          </w:p>
        </w:tc>
        <w:tc>
          <w:tcPr>
            <w:tcW w:w="2551" w:type="dxa"/>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2010399</w:t>
            </w:r>
          </w:p>
        </w:tc>
        <w:tc>
          <w:tcPr>
            <w:tcW w:w="4535" w:type="dxa"/>
            <w:vAlign w:val="center"/>
          </w:tcPr>
          <w:p>
            <w:pPr>
              <w:pStyle w:val="10"/>
            </w:pPr>
            <w:r>
              <w:t>其他政府办公厅（室）及相关机构事务支出</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11"/>
            </w:pPr>
            <w:r>
              <w:t>6.54</w:t>
            </w:r>
          </w:p>
        </w:tc>
        <w:tc>
          <w:tcPr>
            <w:tcW w:w="2551" w:type="dxa"/>
            <w:vAlign w:val="center"/>
          </w:tcPr>
          <w:p>
            <w:pPr>
              <w:pStyle w:val="11"/>
            </w:pPr>
            <w:r>
              <w:t>6.54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11"/>
            </w:pPr>
            <w:r>
              <w:t>6.54</w:t>
            </w:r>
          </w:p>
        </w:tc>
        <w:tc>
          <w:tcPr>
            <w:tcW w:w="2551" w:type="dxa"/>
            <w:vAlign w:val="center"/>
          </w:tcPr>
          <w:p>
            <w:pPr>
              <w:pStyle w:val="11"/>
            </w:pPr>
            <w:r>
              <w:t>6.54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11"/>
            </w:pPr>
            <w:r>
              <w:t>6.54</w:t>
            </w:r>
          </w:p>
        </w:tc>
        <w:tc>
          <w:tcPr>
            <w:tcW w:w="2551" w:type="dxa"/>
            <w:vAlign w:val="center"/>
          </w:tcPr>
          <w:p>
            <w:pPr>
              <w:pStyle w:val="11"/>
            </w:pPr>
            <w:r>
              <w:t>6.54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11"/>
            </w:pPr>
            <w:r>
              <w:t>6.54</w:t>
            </w:r>
          </w:p>
        </w:tc>
        <w:tc>
          <w:tcPr>
            <w:tcW w:w="2551" w:type="dxa"/>
            <w:vAlign w:val="center"/>
          </w:tcPr>
          <w:p>
            <w:pPr>
              <w:pStyle w:val="11"/>
            </w:pPr>
            <w:r>
              <w:t>6.54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11"/>
            </w:pPr>
            <w:r>
              <w:t>6.54</w:t>
            </w:r>
          </w:p>
        </w:tc>
        <w:tc>
          <w:tcPr>
            <w:tcW w:w="2551" w:type="dxa"/>
            <w:vAlign w:val="center"/>
          </w:tcPr>
          <w:p>
            <w:pPr>
              <w:pStyle w:val="11"/>
            </w:pPr>
            <w:r>
              <w:t>6.54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11"/>
            </w:pPr>
            <w:r>
              <w:t>3.27</w:t>
            </w:r>
          </w:p>
        </w:tc>
        <w:tc>
          <w:tcPr>
            <w:tcW w:w="2551" w:type="dxa"/>
            <w:vAlign w:val="center"/>
          </w:tcPr>
          <w:p>
            <w:pPr>
              <w:pStyle w:val="11"/>
            </w:pPr>
            <w:r>
              <w:t>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2101103</w:t>
            </w:r>
          </w:p>
        </w:tc>
        <w:tc>
          <w:tcPr>
            <w:tcW w:w="4535" w:type="dxa"/>
            <w:vAlign w:val="center"/>
          </w:tcPr>
          <w:p>
            <w:pPr>
              <w:pStyle w:val="10"/>
            </w:pPr>
            <w:r>
              <w:t>公务员医疗补助</w:t>
            </w:r>
          </w:p>
        </w:tc>
        <w:tc>
          <w:tcPr>
            <w:tcW w:w="2551" w:type="dxa"/>
            <w:vAlign w:val="center"/>
          </w:tcPr>
          <w:p>
            <w:pPr>
              <w:pStyle w:val="11"/>
            </w:pPr>
            <w:r>
              <w:t>3.27</w:t>
            </w:r>
          </w:p>
        </w:tc>
        <w:tc>
          <w:tcPr>
            <w:tcW w:w="2551" w:type="dxa"/>
            <w:vAlign w:val="center"/>
          </w:tcPr>
          <w:p>
            <w:pPr>
              <w:pStyle w:val="11"/>
            </w:pPr>
            <w:r>
              <w:t>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215</w:t>
            </w:r>
          </w:p>
        </w:tc>
        <w:tc>
          <w:tcPr>
            <w:tcW w:w="4535" w:type="dxa"/>
            <w:vAlign w:val="center"/>
          </w:tcPr>
          <w:p>
            <w:pPr>
              <w:pStyle w:val="10"/>
            </w:pPr>
            <w:r>
              <w:t>资源勘探工业信息等支出</w:t>
            </w:r>
          </w:p>
        </w:tc>
        <w:tc>
          <w:tcPr>
            <w:tcW w:w="2551" w:type="dxa"/>
            <w:vAlign w:val="center"/>
          </w:tcPr>
          <w:p>
            <w:pPr>
              <w:pStyle w:val="11"/>
            </w:pPr>
            <w:r>
              <w:t>82.87</w:t>
            </w:r>
          </w:p>
        </w:tc>
        <w:tc>
          <w:tcPr>
            <w:tcW w:w="2551" w:type="dxa"/>
            <w:vAlign w:val="center"/>
          </w:tcPr>
          <w:p>
            <w:pPr>
              <w:pStyle w:val="11"/>
            </w:pPr>
            <w:r>
              <w:t>82.87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21507</w:t>
            </w:r>
          </w:p>
        </w:tc>
        <w:tc>
          <w:tcPr>
            <w:tcW w:w="4535" w:type="dxa"/>
            <w:vAlign w:val="center"/>
          </w:tcPr>
          <w:p>
            <w:pPr>
              <w:pStyle w:val="10"/>
            </w:pPr>
            <w:r>
              <w:t>国有资产监管</w:t>
            </w:r>
          </w:p>
        </w:tc>
        <w:tc>
          <w:tcPr>
            <w:tcW w:w="2551" w:type="dxa"/>
            <w:vAlign w:val="center"/>
          </w:tcPr>
          <w:p>
            <w:pPr>
              <w:pStyle w:val="11"/>
            </w:pPr>
            <w:r>
              <w:t>82.87</w:t>
            </w:r>
          </w:p>
        </w:tc>
        <w:tc>
          <w:tcPr>
            <w:tcW w:w="2551" w:type="dxa"/>
            <w:vAlign w:val="center"/>
          </w:tcPr>
          <w:p>
            <w:pPr>
              <w:pStyle w:val="11"/>
            </w:pPr>
            <w:r>
              <w:t>82.87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2150701</w:t>
            </w:r>
          </w:p>
        </w:tc>
        <w:tc>
          <w:tcPr>
            <w:tcW w:w="4535" w:type="dxa"/>
            <w:vAlign w:val="center"/>
          </w:tcPr>
          <w:p>
            <w:pPr>
              <w:pStyle w:val="10"/>
            </w:pPr>
            <w:r>
              <w:t>行政运行</w:t>
            </w:r>
          </w:p>
        </w:tc>
        <w:tc>
          <w:tcPr>
            <w:tcW w:w="2551" w:type="dxa"/>
            <w:vAlign w:val="center"/>
          </w:tcPr>
          <w:p>
            <w:pPr>
              <w:pStyle w:val="11"/>
            </w:pPr>
            <w:r>
              <w:t>82.87</w:t>
            </w:r>
          </w:p>
        </w:tc>
        <w:tc>
          <w:tcPr>
            <w:tcW w:w="2551" w:type="dxa"/>
            <w:vAlign w:val="center"/>
          </w:tcPr>
          <w:p>
            <w:pPr>
              <w:pStyle w:val="11"/>
            </w:pPr>
            <w:r>
              <w:t>82.87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11"/>
            </w:pPr>
            <w:r>
              <w:t>4.91</w:t>
            </w:r>
          </w:p>
        </w:tc>
        <w:tc>
          <w:tcPr>
            <w:tcW w:w="2551" w:type="dxa"/>
            <w:vAlign w:val="center"/>
          </w:tcPr>
          <w:p>
            <w:pPr>
              <w:pStyle w:val="11"/>
            </w:pPr>
            <w:r>
              <w:t>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11"/>
            </w:pPr>
            <w:r>
              <w:t>4.91</w:t>
            </w:r>
          </w:p>
        </w:tc>
        <w:tc>
          <w:tcPr>
            <w:tcW w:w="2551" w:type="dxa"/>
            <w:vAlign w:val="center"/>
          </w:tcPr>
          <w:p>
            <w:pPr>
              <w:pStyle w:val="11"/>
            </w:pPr>
            <w:r>
              <w:t>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11"/>
            </w:pPr>
            <w:r>
              <w:t>4.91</w:t>
            </w:r>
          </w:p>
        </w:tc>
        <w:tc>
          <w:tcPr>
            <w:tcW w:w="2551" w:type="dxa"/>
            <w:vAlign w:val="center"/>
          </w:tcPr>
          <w:p>
            <w:pPr>
              <w:pStyle w:val="11"/>
            </w:pPr>
            <w:r>
              <w:t>4.91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381001秦皇岛经济技术开发区国有资产监督管理办公室（本级）</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100.86</w:t>
            </w:r>
          </w:p>
        </w:tc>
        <w:tc>
          <w:tcPr>
            <w:tcW w:w="2551" w:type="dxa"/>
            <w:vAlign w:val="center"/>
          </w:tcPr>
          <w:p>
            <w:pPr>
              <w:pStyle w:val="13"/>
            </w:pPr>
            <w:r>
              <w:t>93.42</w:t>
            </w:r>
          </w:p>
        </w:tc>
        <w:tc>
          <w:tcPr>
            <w:tcW w:w="2551" w:type="dxa"/>
            <w:vAlign w:val="center"/>
          </w:tcPr>
          <w:p>
            <w:pPr>
              <w:pStyle w:val="13"/>
            </w:pPr>
            <w:r>
              <w:t>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11"/>
            </w:pPr>
            <w:r>
              <w:t>93.15</w:t>
            </w:r>
          </w:p>
        </w:tc>
        <w:tc>
          <w:tcPr>
            <w:tcW w:w="2551" w:type="dxa"/>
            <w:vAlign w:val="center"/>
          </w:tcPr>
          <w:p>
            <w:pPr>
              <w:pStyle w:val="11"/>
            </w:pPr>
            <w:r>
              <w:t>93.15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11"/>
            </w:pPr>
            <w:r>
              <w:t>45.62</w:t>
            </w:r>
          </w:p>
        </w:tc>
        <w:tc>
          <w:tcPr>
            <w:tcW w:w="2551" w:type="dxa"/>
            <w:vAlign w:val="center"/>
          </w:tcPr>
          <w:p>
            <w:pPr>
              <w:pStyle w:val="11"/>
            </w:pPr>
            <w:r>
              <w:t>45.62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11"/>
            </w:pPr>
            <w:r>
              <w:t>15.94</w:t>
            </w:r>
          </w:p>
        </w:tc>
        <w:tc>
          <w:tcPr>
            <w:tcW w:w="2551" w:type="dxa"/>
            <w:vAlign w:val="center"/>
          </w:tcPr>
          <w:p>
            <w:pPr>
              <w:pStyle w:val="11"/>
            </w:pPr>
            <w:r>
              <w:t>15.94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11"/>
            </w:pPr>
            <w:r>
              <w:t>13.39</w:t>
            </w:r>
          </w:p>
        </w:tc>
        <w:tc>
          <w:tcPr>
            <w:tcW w:w="2551" w:type="dxa"/>
            <w:vAlign w:val="center"/>
          </w:tcPr>
          <w:p>
            <w:pPr>
              <w:pStyle w:val="11"/>
            </w:pPr>
            <w:r>
              <w:t>13.39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11"/>
            </w:pPr>
            <w:r>
              <w:t>6.54</w:t>
            </w:r>
          </w:p>
        </w:tc>
        <w:tc>
          <w:tcPr>
            <w:tcW w:w="2551" w:type="dxa"/>
            <w:vAlign w:val="center"/>
          </w:tcPr>
          <w:p>
            <w:pPr>
              <w:pStyle w:val="11"/>
            </w:pPr>
            <w:r>
              <w:t>6.54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11"/>
            </w:pPr>
            <w:r>
              <w:t>3.27</w:t>
            </w:r>
          </w:p>
        </w:tc>
        <w:tc>
          <w:tcPr>
            <w:tcW w:w="2551" w:type="dxa"/>
            <w:vAlign w:val="center"/>
          </w:tcPr>
          <w:p>
            <w:pPr>
              <w:pStyle w:val="11"/>
            </w:pPr>
            <w:r>
              <w:t>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30111</w:t>
            </w:r>
          </w:p>
        </w:tc>
        <w:tc>
          <w:tcPr>
            <w:tcW w:w="4535" w:type="dxa"/>
            <w:vAlign w:val="center"/>
          </w:tcPr>
          <w:p>
            <w:pPr>
              <w:pStyle w:val="10"/>
            </w:pPr>
            <w:r>
              <w:t>公务员医疗补助缴费</w:t>
            </w:r>
          </w:p>
        </w:tc>
        <w:tc>
          <w:tcPr>
            <w:tcW w:w="2551" w:type="dxa"/>
            <w:vAlign w:val="center"/>
          </w:tcPr>
          <w:p>
            <w:pPr>
              <w:pStyle w:val="11"/>
            </w:pPr>
            <w:r>
              <w:t>3.27</w:t>
            </w:r>
          </w:p>
        </w:tc>
        <w:tc>
          <w:tcPr>
            <w:tcW w:w="2551" w:type="dxa"/>
            <w:vAlign w:val="center"/>
          </w:tcPr>
          <w:p>
            <w:pPr>
              <w:pStyle w:val="11"/>
            </w:pPr>
            <w:r>
              <w:t>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11"/>
            </w:pPr>
            <w:r>
              <w:t>0.21</w:t>
            </w:r>
          </w:p>
        </w:tc>
        <w:tc>
          <w:tcPr>
            <w:tcW w:w="2551" w:type="dxa"/>
            <w:vAlign w:val="center"/>
          </w:tcPr>
          <w:p>
            <w:pPr>
              <w:pStyle w:val="11"/>
            </w:pPr>
            <w:r>
              <w:t>0.21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11"/>
            </w:pPr>
            <w:r>
              <w:t>4.91</w:t>
            </w:r>
          </w:p>
        </w:tc>
        <w:tc>
          <w:tcPr>
            <w:tcW w:w="2551" w:type="dxa"/>
            <w:vAlign w:val="center"/>
          </w:tcPr>
          <w:p>
            <w:pPr>
              <w:pStyle w:val="11"/>
            </w:pPr>
            <w:r>
              <w:t>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11"/>
            </w:pPr>
            <w:r>
              <w:t>7.44</w:t>
            </w:r>
          </w:p>
        </w:tc>
        <w:tc>
          <w:tcPr>
            <w:tcW w:w="2551" w:type="dxa"/>
            <w:vAlign w:val="center"/>
          </w:tcPr>
          <w:p>
            <w:pPr>
              <w:pStyle w:val="11"/>
            </w:pPr>
          </w:p>
        </w:tc>
        <w:tc>
          <w:tcPr>
            <w:tcW w:w="2551" w:type="dxa"/>
            <w:vAlign w:val="center"/>
          </w:tcPr>
          <w:p>
            <w:pPr>
              <w:pStyle w:val="11"/>
            </w:pPr>
            <w:r>
              <w:t>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11"/>
            </w:pPr>
            <w:r>
              <w:t>2.44</w:t>
            </w:r>
          </w:p>
        </w:tc>
        <w:tc>
          <w:tcPr>
            <w:tcW w:w="2551" w:type="dxa"/>
            <w:vAlign w:val="center"/>
          </w:tcPr>
          <w:p>
            <w:pPr>
              <w:pStyle w:val="11"/>
            </w:pPr>
          </w:p>
        </w:tc>
        <w:tc>
          <w:tcPr>
            <w:tcW w:w="2551" w:type="dxa"/>
            <w:vAlign w:val="center"/>
          </w:tcPr>
          <w:p>
            <w:pPr>
              <w:pStyle w:val="11"/>
            </w:pPr>
            <w:r>
              <w:t>2.44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11"/>
            </w:pPr>
            <w:r>
              <w:t>0.48</w:t>
            </w:r>
          </w:p>
        </w:tc>
        <w:tc>
          <w:tcPr>
            <w:tcW w:w="2551" w:type="dxa"/>
            <w:vAlign w:val="center"/>
          </w:tcPr>
          <w:p>
            <w:pPr>
              <w:pStyle w:val="11"/>
            </w:pPr>
          </w:p>
        </w:tc>
        <w:tc>
          <w:tcPr>
            <w:tcW w:w="2551" w:type="dxa"/>
            <w:vAlign w:val="center"/>
          </w:tcPr>
          <w:p>
            <w:pPr>
              <w:pStyle w:val="11"/>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11"/>
            </w:pPr>
            <w:r>
              <w:t>0.04</w:t>
            </w:r>
          </w:p>
        </w:tc>
        <w:tc>
          <w:tcPr>
            <w:tcW w:w="2551" w:type="dxa"/>
            <w:vAlign w:val="center"/>
          </w:tcPr>
          <w:p>
            <w:pPr>
              <w:pStyle w:val="11"/>
            </w:pPr>
          </w:p>
        </w:tc>
        <w:tc>
          <w:tcPr>
            <w:tcW w:w="2551" w:type="dxa"/>
            <w:vAlign w:val="center"/>
          </w:tcPr>
          <w:p>
            <w:pPr>
              <w:pStyle w:val="11"/>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11"/>
            </w:pPr>
            <w:r>
              <w:t>0.43</w:t>
            </w:r>
          </w:p>
        </w:tc>
        <w:tc>
          <w:tcPr>
            <w:tcW w:w="2551" w:type="dxa"/>
            <w:vAlign w:val="center"/>
          </w:tcPr>
          <w:p>
            <w:pPr>
              <w:pStyle w:val="11"/>
            </w:pPr>
          </w:p>
        </w:tc>
        <w:tc>
          <w:tcPr>
            <w:tcW w:w="2551" w:type="dxa"/>
            <w:vAlign w:val="center"/>
          </w:tcPr>
          <w:p>
            <w:pPr>
              <w:pStyle w:val="11"/>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11"/>
            </w:pPr>
            <w:r>
              <w:t>0.05</w:t>
            </w:r>
          </w:p>
        </w:tc>
        <w:tc>
          <w:tcPr>
            <w:tcW w:w="2551" w:type="dxa"/>
            <w:vAlign w:val="center"/>
          </w:tcPr>
          <w:p>
            <w:pPr>
              <w:pStyle w:val="11"/>
            </w:pPr>
          </w:p>
        </w:tc>
        <w:tc>
          <w:tcPr>
            <w:tcW w:w="2551" w:type="dxa"/>
            <w:vAlign w:val="center"/>
          </w:tcPr>
          <w:p>
            <w:pPr>
              <w:pStyle w:val="11"/>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11"/>
            </w:pPr>
            <w:r>
              <w:t>0.57</w:t>
            </w:r>
          </w:p>
        </w:tc>
        <w:tc>
          <w:tcPr>
            <w:tcW w:w="2551" w:type="dxa"/>
            <w:vAlign w:val="center"/>
          </w:tcPr>
          <w:p>
            <w:pPr>
              <w:pStyle w:val="11"/>
            </w:pPr>
          </w:p>
        </w:tc>
        <w:tc>
          <w:tcPr>
            <w:tcW w:w="2551" w:type="dxa"/>
            <w:vAlign w:val="center"/>
          </w:tcPr>
          <w:p>
            <w:pPr>
              <w:pStyle w:val="11"/>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11"/>
            </w:pPr>
            <w:r>
              <w:t>0.36</w:t>
            </w:r>
          </w:p>
        </w:tc>
        <w:tc>
          <w:tcPr>
            <w:tcW w:w="2551" w:type="dxa"/>
            <w:vAlign w:val="center"/>
          </w:tcPr>
          <w:p>
            <w:pPr>
              <w:pStyle w:val="11"/>
            </w:pPr>
          </w:p>
        </w:tc>
        <w:tc>
          <w:tcPr>
            <w:tcW w:w="2551" w:type="dxa"/>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11"/>
            </w:pPr>
            <w:r>
              <w:t>2.22</w:t>
            </w:r>
          </w:p>
        </w:tc>
        <w:tc>
          <w:tcPr>
            <w:tcW w:w="2551" w:type="dxa"/>
            <w:vAlign w:val="center"/>
          </w:tcPr>
          <w:p>
            <w:pPr>
              <w:pStyle w:val="11"/>
            </w:pPr>
          </w:p>
        </w:tc>
        <w:tc>
          <w:tcPr>
            <w:tcW w:w="2551" w:type="dxa"/>
            <w:vAlign w:val="center"/>
          </w:tcPr>
          <w:p>
            <w:pPr>
              <w:pStyle w:val="11"/>
            </w:pPr>
            <w:r>
              <w:t>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11"/>
            </w:pPr>
            <w:r>
              <w:t>0.05</w:t>
            </w:r>
          </w:p>
        </w:tc>
        <w:tc>
          <w:tcPr>
            <w:tcW w:w="2551" w:type="dxa"/>
            <w:vAlign w:val="center"/>
          </w:tcPr>
          <w:p>
            <w:pPr>
              <w:pStyle w:val="11"/>
            </w:pPr>
          </w:p>
        </w:tc>
        <w:tc>
          <w:tcPr>
            <w:tcW w:w="2551" w:type="dxa"/>
            <w:vAlign w:val="center"/>
          </w:tcPr>
          <w:p>
            <w:pPr>
              <w:pStyle w:val="11"/>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11"/>
            </w:pPr>
            <w:r>
              <w:t>0.27</w:t>
            </w:r>
          </w:p>
        </w:tc>
        <w:tc>
          <w:tcPr>
            <w:tcW w:w="2551" w:type="dxa"/>
            <w:vAlign w:val="center"/>
          </w:tcPr>
          <w:p>
            <w:pPr>
              <w:pStyle w:val="11"/>
            </w:pPr>
            <w:r>
              <w:t>0.27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1191" w:type="dxa"/>
            <w:vAlign w:val="center"/>
          </w:tcPr>
          <w:p>
            <w:pPr>
              <w:pStyle w:val="10"/>
            </w:pPr>
            <w:r>
              <w:t>30399</w:t>
            </w:r>
          </w:p>
        </w:tc>
        <w:tc>
          <w:tcPr>
            <w:tcW w:w="4535" w:type="dxa"/>
            <w:vAlign w:val="center"/>
          </w:tcPr>
          <w:p>
            <w:pPr>
              <w:pStyle w:val="10"/>
            </w:pPr>
            <w:r>
              <w:t>其他对个人和家庭的补助</w:t>
            </w:r>
          </w:p>
        </w:tc>
        <w:tc>
          <w:tcPr>
            <w:tcW w:w="2551" w:type="dxa"/>
            <w:vAlign w:val="center"/>
          </w:tcPr>
          <w:p>
            <w:pPr>
              <w:pStyle w:val="11"/>
            </w:pPr>
            <w:r>
              <w:t>0.27</w:t>
            </w:r>
          </w:p>
        </w:tc>
        <w:tc>
          <w:tcPr>
            <w:tcW w:w="2551" w:type="dxa"/>
            <w:vAlign w:val="center"/>
          </w:tcPr>
          <w:p>
            <w:pPr>
              <w:pStyle w:val="11"/>
            </w:pPr>
            <w:r>
              <w:t>0.27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381001秦皇岛经济技术开发区国有资产监督管理办公室（本级）</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381001秦皇岛经济技术开发区国有资产监督管理办公室（本级）</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5"/>
            </w:pPr>
            <w:r>
              <w:t>381001秦皇岛经济技术开发区国有资产监督管理办公室（本级）</w:t>
            </w:r>
          </w:p>
        </w:tc>
        <w:tc>
          <w:tcPr>
            <w:tcW w:w="2381" w:type="dxa"/>
            <w:tcBorders>
              <w:top w:val="single" w:color="FFFFFF" w:sz="6" w:space="0"/>
              <w:left w:val="single" w:color="FFFFFF" w:sz="6" w:space="0"/>
              <w:right w:val="single" w:color="FFFFFF" w:sz="6" w:space="0"/>
            </w:tcBorders>
            <w:vAlign w:val="center"/>
          </w:tcPr>
          <w:p>
            <w:pPr>
              <w:pStyle w:val="6"/>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1</w:t>
            </w:r>
          </w:p>
        </w:tc>
        <w:tc>
          <w:tcPr>
            <w:tcW w:w="3798" w:type="dxa"/>
            <w:vAlign w:val="center"/>
          </w:tcPr>
          <w:p>
            <w:pPr>
              <w:pStyle w:val="12"/>
            </w:pPr>
            <w:r>
              <w:t>合计</w:t>
            </w:r>
          </w:p>
        </w:tc>
        <w:tc>
          <w:tcPr>
            <w:tcW w:w="2382" w:type="dxa"/>
            <w:vAlign w:val="center"/>
          </w:tcPr>
          <w:p>
            <w:pPr>
              <w:pStyle w:val="13"/>
              <w:rPr>
                <w:rFonts w:hint="default" w:eastAsia="方正书宋_GBK"/>
                <w:lang w:val="en-US" w:eastAsia="zh-CN"/>
              </w:rPr>
            </w:pPr>
            <w:r>
              <w:rPr>
                <w:rFonts w:hint="eastAsia"/>
                <w:lang w:val="en-US" w:eastAsia="zh-CN"/>
              </w:rPr>
              <w:t>0.05</w:t>
            </w:r>
          </w:p>
        </w:tc>
        <w:tc>
          <w:tcPr>
            <w:tcW w:w="2381" w:type="dxa"/>
            <w:vAlign w:val="center"/>
          </w:tcPr>
          <w:p>
            <w:pPr>
              <w:pStyle w:val="13"/>
              <w:rPr>
                <w:rFonts w:hint="default" w:eastAsia="方正书宋_GBK"/>
                <w:lang w:val="en-US" w:eastAsia="zh-CN"/>
              </w:rPr>
            </w:pPr>
            <w:r>
              <w:rPr>
                <w:rFonts w:hint="eastAsia"/>
                <w:lang w:val="en-US" w:eastAsia="zh-CN"/>
              </w:rPr>
              <w:t>0.05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2</w:t>
            </w:r>
          </w:p>
        </w:tc>
        <w:tc>
          <w:tcPr>
            <w:tcW w:w="3798" w:type="dxa"/>
            <w:vAlign w:val="center"/>
          </w:tcPr>
          <w:p>
            <w:pPr>
              <w:pStyle w:val="10"/>
            </w:pPr>
            <w:r>
              <w:t>“三公”经费小计</w:t>
            </w:r>
          </w:p>
        </w:tc>
        <w:tc>
          <w:tcPr>
            <w:tcW w:w="2382" w:type="dxa"/>
            <w:vAlign w:val="center"/>
          </w:tcPr>
          <w:p>
            <w:pPr>
              <w:pStyle w:val="11"/>
            </w:pPr>
            <w:r>
              <w:t>0.05</w:t>
            </w:r>
          </w:p>
        </w:tc>
        <w:tc>
          <w:tcPr>
            <w:tcW w:w="2381" w:type="dxa"/>
            <w:vAlign w:val="center"/>
          </w:tcPr>
          <w:p>
            <w:pPr>
              <w:pStyle w:val="11"/>
            </w:pPr>
            <w:r>
              <w:t>0.05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3</w:t>
            </w:r>
          </w:p>
        </w:tc>
        <w:tc>
          <w:tcPr>
            <w:tcW w:w="3798" w:type="dxa"/>
            <w:vAlign w:val="center"/>
          </w:tcPr>
          <w:p>
            <w:pPr>
              <w:pStyle w:val="10"/>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4</w:t>
            </w:r>
          </w:p>
        </w:tc>
        <w:tc>
          <w:tcPr>
            <w:tcW w:w="3798" w:type="dxa"/>
            <w:vAlign w:val="center"/>
          </w:tcPr>
          <w:p>
            <w:pPr>
              <w:pStyle w:val="10"/>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5</w:t>
            </w:r>
          </w:p>
        </w:tc>
        <w:tc>
          <w:tcPr>
            <w:tcW w:w="3798" w:type="dxa"/>
            <w:vAlign w:val="center"/>
          </w:tcPr>
          <w:p>
            <w:pPr>
              <w:pStyle w:val="10"/>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6</w:t>
            </w:r>
          </w:p>
        </w:tc>
        <w:tc>
          <w:tcPr>
            <w:tcW w:w="3798" w:type="dxa"/>
            <w:vAlign w:val="center"/>
          </w:tcPr>
          <w:p>
            <w:pPr>
              <w:pStyle w:val="10"/>
            </w:pPr>
            <w:r>
              <w:t>二、公务用车购置及运维费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7</w:t>
            </w:r>
          </w:p>
        </w:tc>
        <w:tc>
          <w:tcPr>
            <w:tcW w:w="3798" w:type="dxa"/>
            <w:vAlign w:val="center"/>
          </w:tcPr>
          <w:p>
            <w:pPr>
              <w:pStyle w:val="10"/>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8</w:t>
            </w:r>
          </w:p>
        </w:tc>
        <w:tc>
          <w:tcPr>
            <w:tcW w:w="3798" w:type="dxa"/>
            <w:vAlign w:val="center"/>
          </w:tcPr>
          <w:p>
            <w:pPr>
              <w:pStyle w:val="10"/>
            </w:pPr>
            <w:r>
              <w:t xml:space="preserve">          公务用车运行维护费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9</w:t>
            </w:r>
          </w:p>
        </w:tc>
        <w:tc>
          <w:tcPr>
            <w:tcW w:w="3798" w:type="dxa"/>
            <w:vAlign w:val="center"/>
          </w:tcPr>
          <w:p>
            <w:pPr>
              <w:pStyle w:val="10"/>
            </w:pPr>
            <w:r>
              <w:t>三、公务接待费</w:t>
            </w:r>
          </w:p>
        </w:tc>
        <w:tc>
          <w:tcPr>
            <w:tcW w:w="2382" w:type="dxa"/>
            <w:vAlign w:val="center"/>
          </w:tcPr>
          <w:p>
            <w:pPr>
              <w:pStyle w:val="11"/>
            </w:pPr>
            <w:r>
              <w:t>0.05</w:t>
            </w:r>
          </w:p>
        </w:tc>
        <w:tc>
          <w:tcPr>
            <w:tcW w:w="2381" w:type="dxa"/>
            <w:vAlign w:val="center"/>
          </w:tcPr>
          <w:p>
            <w:pPr>
              <w:pStyle w:val="11"/>
            </w:pPr>
            <w:r>
              <w:t>0.05</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秦皇岛经济技术开发区国有资产监督管理办公室（本级）2023年单位预算信息公开情况说明</w:t>
      </w:r>
    </w:p>
    <w:p>
      <w:pPr>
        <w:spacing w:line="500" w:lineRule="exact"/>
        <w:ind w:firstLine="560"/>
      </w:pPr>
      <w:r>
        <w:rPr>
          <w:rFonts w:eastAsia="方正仿宋_GBK"/>
          <w:color w:val="000000"/>
          <w:sz w:val="28"/>
        </w:rPr>
        <w:t>按照《</w:t>
      </w:r>
      <w:bookmarkStart w:id="1" w:name="_GoBack"/>
      <w:bookmarkEnd w:id="1"/>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》、《地方预决算公开操作规程》和《关于进一步推进预算公开工作的实施意见》规定，现将秦皇岛经济技术开发区国有资产监督管理办公室（本级）2023年单位预算公开如下：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根据管委授权，依照《中华人民共和国企业国有资产法》《中华人民共和国公司法》等法律和行政法规履行出资人职责，监管履行出资人职责企业的国有资产，加强国有资产的管理工作。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承担监督所监管企业国有资产保值增值的责任。指导所监管企业建立和完善国有资产保值增值指标体系、拟订考核标准，通过统计、稽核对所监管企业国有资产的保值增值情况进行监管。优化考核分配，完善激励约束机制，健全所监管企业收入分配管理和调控体系，监督所监管企业工资分配管理工作，制定所监管企业负责人收入分配政策并组织实施。</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研究建立国有资本运作制度，制定国有资本运作规划。推动国有资本投资、运营公司组建和国有资本规范运营。组织指导有关投资基金的设立和运作。归口管理国资办（金融办）履行多元投资主体企业股东职责有关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指导推进国有企业改革和重组，推进国有企业的现代企业制度建设，完善公司治理结构。推动国有经济布局和结构的战略性调整，制定所监管企业整体规划，审核所监管企业发展战略和规划。负责事转企单位企业改制工作。改进投资监管方式，强化主业管理。指导所监管企业防范风险，开展违规投资追责。</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依照法定程序和权限对所监管企业干部进行考察、推荐、任免、考核，并根据其经营业绩进行奖惩。</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负责组织所监管企业上交国有资本收益，参与制定国有资本经营预算有关管理制度和办法，按照有关规定负责国有资本经营预决算编制和执行等工作。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负责有关监督成果的利用工作，分类处置、督办、核查在监督检查中发现的问题，对共性问题组织开展专项核查。组织开展国有资产重大损失调查，提出有关责任追究的意见建议。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按照出资人职责，负责督促检查所监管企业贯彻落实国家、省、市、区安全生产工作法律法规执行情况和重大方针政策落实情况。</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jc w:val="both"/>
        <w:textAlignment w:val="auto"/>
        <w:outlineLvl w:val="9"/>
        <w:rPr>
          <w:rFonts w:hint="eastAsia" w:hAnsi="仿宋_GB2312" w:cs="仿宋_GB2312"/>
          <w:sz w:val="32"/>
          <w:szCs w:val="32"/>
          <w:lang w:eastAsia="zh-CN"/>
        </w:rPr>
      </w:pPr>
      <w:r>
        <w:rPr>
          <w:rFonts w:hint="eastAsia" w:hAnsi="仿宋_GB2312" w:cs="仿宋_GB2312"/>
          <w:sz w:val="32"/>
          <w:szCs w:val="32"/>
          <w:lang w:eastAsia="zh-CN"/>
        </w:rPr>
        <w:t>负责企业国有资产基础管理，贯彻落实国家有关国有资产管理的法律法规，研究制定国有资产管理的有关制度和办法。</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建立健全党建工作责任制，完善企业党建工作考核评价体系，开展所监管企业党建工作考核。指导所监管企业开展党的建设工作。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负责所监管企业党组织的巡察工作。指导所监管企业对巡视巡察、专项检查、审计中发现问题</w:t>
      </w:r>
      <w:r>
        <w:rPr>
          <w:rFonts w:hint="eastAsia" w:hAnsi="仿宋_GB2312" w:cs="仿宋_GB2312"/>
          <w:sz w:val="32"/>
          <w:szCs w:val="32"/>
          <w:lang w:val="en-US" w:eastAsia="zh-CN"/>
        </w:rPr>
        <w:t>进行</w:t>
      </w:r>
      <w:r>
        <w:rPr>
          <w:rFonts w:hint="eastAsia" w:ascii="仿宋_GB2312" w:hAnsi="仿宋_GB2312" w:eastAsia="仿宋_GB2312" w:cs="仿宋_GB2312"/>
          <w:sz w:val="32"/>
          <w:szCs w:val="32"/>
          <w:lang w:val="en-US" w:eastAsia="zh-CN"/>
        </w:rPr>
        <w:t>整改。指导所监管企业开展内部巡察工作。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ascii="仿宋_GB2312" w:hAnsi="仿宋_GB2312" w:eastAsia="仿宋_GB2312" w:cs="仿宋_GB2312"/>
          <w:sz w:val="32"/>
          <w:szCs w:val="32"/>
          <w:lang w:val="en-US" w:eastAsia="zh-CN"/>
        </w:rPr>
        <w:t>按照国家、省、市金融监管规定开展地方金融监督管理工作</w:t>
      </w:r>
      <w:r>
        <w:rPr>
          <w:rFonts w:hint="eastAsia" w:hAnsi="仿宋_GB2312" w:cs="仿宋_GB2312"/>
          <w:sz w:val="32"/>
          <w:szCs w:val="32"/>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pPr>
      <w:r>
        <w:rPr>
          <w:rFonts w:hint="eastAsia" w:hAnsi="仿宋_GB2312" w:cs="仿宋_GB2312"/>
          <w:sz w:val="32"/>
          <w:szCs w:val="32"/>
          <w:lang w:eastAsia="zh-CN"/>
        </w:rPr>
        <w:t>完成工委、管委交办的其他任务。</w:t>
      </w:r>
    </w:p>
    <w:p>
      <w:pPr>
        <w:pStyle w:val="1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秦皇岛经济技术开发区国有资产监督管理办公室（本级）</w:t>
            </w:r>
          </w:p>
        </w:tc>
        <w:tc>
          <w:tcPr>
            <w:tcW w:w="1843" w:type="dxa"/>
            <w:vAlign w:val="center"/>
          </w:tcPr>
          <w:p>
            <w:pPr>
              <w:pStyle w:val="9"/>
            </w:pPr>
            <w:r>
              <w:t>行政</w:t>
            </w:r>
          </w:p>
        </w:tc>
        <w:tc>
          <w:tcPr>
            <w:tcW w:w="2126" w:type="dxa"/>
            <w:vAlign w:val="center"/>
          </w:tcPr>
          <w:p>
            <w:pPr>
              <w:pStyle w:val="9"/>
            </w:pPr>
            <w:r>
              <w:t>正科级</w:t>
            </w:r>
          </w:p>
        </w:tc>
        <w:tc>
          <w:tcPr>
            <w:tcW w:w="3827" w:type="dxa"/>
            <w:vAlign w:val="center"/>
          </w:tcPr>
          <w:p>
            <w:pPr>
              <w:pStyle w:val="9"/>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区</w:t>
      </w:r>
      <w:r>
        <w:rPr>
          <w:rFonts w:eastAsia="方正仿宋_GBK"/>
          <w:color w:val="000000"/>
          <w:sz w:val="28"/>
        </w:rPr>
        <w:t>单位预算的编制实行综合预算管理，即全部收入和支出都反映在预算中。</w:t>
      </w:r>
      <w:r>
        <w:rPr>
          <w:rFonts w:hint="eastAsia" w:eastAsia="方正仿宋_GBK"/>
          <w:color w:val="000000"/>
          <w:sz w:val="28"/>
          <w:lang w:eastAsia="zh-CN"/>
        </w:rPr>
        <w:t>本单位</w:t>
      </w:r>
      <w:r>
        <w:rPr>
          <w:rFonts w:hint="eastAsia" w:eastAsia="方正仿宋_GBK"/>
          <w:color w:val="000000"/>
          <w:sz w:val="28"/>
          <w:lang w:val="en-US" w:eastAsia="zh-CN"/>
        </w:rPr>
        <w:t>2023年收入总计125.86万元，支出总计125.86万元；2022年收入总计177.86万元，支出总计177.86万元。变动主要原因为本单位人员调动及疫情原因影响，防疫物资花费较多。</w:t>
      </w:r>
    </w:p>
    <w:p>
      <w:pPr>
        <w:pStyle w:val="16"/>
      </w:pPr>
    </w:p>
    <w:p>
      <w:pPr>
        <w:spacing w:before="10" w:after="10"/>
        <w:ind w:firstLine="640"/>
        <w:outlineLvl w:val="5"/>
      </w:pPr>
      <w:r>
        <w:rPr>
          <w:rFonts w:ascii="黑体" w:hAnsi="黑体" w:eastAsia="黑体" w:cs="黑体"/>
          <w:color w:val="000000"/>
          <w:sz w:val="32"/>
        </w:rPr>
        <w:t>三、机关运行经费安排情况</w:t>
      </w:r>
    </w:p>
    <w:p>
      <w:pPr>
        <w:spacing w:line="500" w:lineRule="exact"/>
        <w:ind w:firstLine="560"/>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根据财政部《地方预决算公开操作规程》规定，部门公开的机关运行经费是指各部门的公用经费，本年度机关运行经费安排</w:t>
      </w:r>
      <w:r>
        <w:rPr>
          <w:rFonts w:hint="eastAsia" w:ascii="Times New Roman" w:hAnsi="Times New Roman" w:eastAsia="方正仿宋_GBK" w:cs="Times New Roman"/>
          <w:color w:val="000000"/>
          <w:sz w:val="28"/>
          <w:lang w:val="en-US" w:eastAsia="zh-CN"/>
        </w:rPr>
        <w:t>7.44</w:t>
      </w:r>
      <w:r>
        <w:rPr>
          <w:rFonts w:hint="eastAsia" w:ascii="Times New Roman" w:hAnsi="Times New Roman" w:eastAsia="方正仿宋_GBK" w:cs="Times New Roman"/>
          <w:color w:val="000000"/>
          <w:sz w:val="28"/>
        </w:rPr>
        <w:t>万元，包括办公及印刷费、邮电费、差旅费、会议费、福利费、日常维修费、专用材料及一般设备购置费、办公用房水电费、办公用房取暖费、办公用房物业管理费、公务用车运行维护费及其他费用安排情况。</w:t>
      </w:r>
    </w:p>
    <w:p>
      <w:pPr>
        <w:pStyle w:val="17"/>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18"/>
      </w:pPr>
      <w:r>
        <w:rPr>
          <w:rFonts w:hint="eastAsia" w:ascii="宋体" w:hAnsi="宋体" w:cs="仿宋_GB2312"/>
          <w:color w:val="000000"/>
          <w:kern w:val="0"/>
          <w:sz w:val="28"/>
          <w:szCs w:val="28"/>
          <w:lang w:eastAsia="zh-CN"/>
        </w:rPr>
        <w:t>我单位</w:t>
      </w:r>
      <w:r>
        <w:rPr>
          <w:rFonts w:hint="eastAsia" w:ascii="宋体" w:hAnsi="宋体" w:cs="仿宋_GB2312"/>
          <w:color w:val="000000"/>
          <w:kern w:val="0"/>
          <w:sz w:val="28"/>
          <w:szCs w:val="28"/>
        </w:rPr>
        <w:t>202</w:t>
      </w:r>
      <w:r>
        <w:rPr>
          <w:rFonts w:hint="eastAsia" w:ascii="宋体" w:hAnsi="宋体" w:cs="仿宋_GB2312"/>
          <w:color w:val="000000"/>
          <w:kern w:val="0"/>
          <w:sz w:val="28"/>
          <w:szCs w:val="28"/>
          <w:lang w:val="en-US" w:eastAsia="zh-CN"/>
        </w:rPr>
        <w:t>3</w:t>
      </w:r>
      <w:r>
        <w:rPr>
          <w:rFonts w:hint="eastAsia" w:ascii="宋体" w:hAnsi="宋体" w:cs="仿宋_GB2312"/>
          <w:color w:val="000000"/>
          <w:kern w:val="0"/>
          <w:sz w:val="28"/>
          <w:szCs w:val="28"/>
        </w:rPr>
        <w:t>年“三公经费”为</w:t>
      </w:r>
      <w:r>
        <w:rPr>
          <w:rFonts w:hint="eastAsia" w:ascii="宋体" w:hAnsi="宋体" w:cs="仿宋_GB2312"/>
          <w:color w:val="000000"/>
          <w:kern w:val="0"/>
          <w:sz w:val="28"/>
          <w:szCs w:val="28"/>
          <w:lang w:val="en-US" w:eastAsia="zh-CN"/>
        </w:rPr>
        <w:t>0.05</w:t>
      </w:r>
      <w:r>
        <w:rPr>
          <w:rFonts w:hint="eastAsia" w:ascii="宋体" w:hAnsi="宋体" w:cs="仿宋_GB2312"/>
          <w:color w:val="000000"/>
          <w:kern w:val="0"/>
          <w:sz w:val="28"/>
          <w:szCs w:val="28"/>
        </w:rPr>
        <w:t>万元，其中：公务出国0万元；公务用车购置费0万元，公务用车运行费0万元；公务接待</w:t>
      </w:r>
      <w:r>
        <w:rPr>
          <w:rFonts w:hint="eastAsia" w:ascii="宋体" w:hAnsi="宋体" w:cs="仿宋_GB2312"/>
          <w:color w:val="000000"/>
          <w:kern w:val="0"/>
          <w:sz w:val="28"/>
          <w:szCs w:val="28"/>
          <w:lang w:val="en-US" w:eastAsia="zh-CN"/>
        </w:rPr>
        <w:t>0.05</w:t>
      </w:r>
      <w:r>
        <w:rPr>
          <w:rFonts w:hint="eastAsia" w:ascii="宋体" w:hAnsi="宋体" w:cs="仿宋_GB2312"/>
          <w:color w:val="000000"/>
          <w:kern w:val="0"/>
          <w:sz w:val="28"/>
          <w:szCs w:val="28"/>
        </w:rPr>
        <w:t>万元。202</w:t>
      </w:r>
      <w:r>
        <w:rPr>
          <w:rFonts w:hint="eastAsia" w:ascii="宋体" w:hAnsi="宋体" w:cs="仿宋_GB2312"/>
          <w:color w:val="000000"/>
          <w:kern w:val="0"/>
          <w:sz w:val="28"/>
          <w:szCs w:val="28"/>
          <w:lang w:val="en-US" w:eastAsia="zh-CN"/>
        </w:rPr>
        <w:t>2</w:t>
      </w:r>
      <w:r>
        <w:rPr>
          <w:rFonts w:hint="eastAsia" w:ascii="宋体" w:hAnsi="宋体" w:cs="仿宋_GB2312"/>
          <w:color w:val="000000"/>
          <w:kern w:val="0"/>
          <w:sz w:val="28"/>
          <w:szCs w:val="28"/>
        </w:rPr>
        <w:t>年“三公经费”为</w:t>
      </w:r>
      <w:r>
        <w:rPr>
          <w:rFonts w:hint="eastAsia" w:ascii="宋体" w:hAnsi="宋体" w:cs="仿宋_GB2312"/>
          <w:color w:val="000000"/>
          <w:kern w:val="0"/>
          <w:sz w:val="28"/>
          <w:szCs w:val="28"/>
          <w:lang w:val="en-US" w:eastAsia="zh-CN"/>
        </w:rPr>
        <w:t>0.06</w:t>
      </w:r>
      <w:r>
        <w:rPr>
          <w:rFonts w:hint="eastAsia" w:ascii="宋体" w:hAnsi="宋体" w:cs="仿宋_GB2312"/>
          <w:color w:val="000000"/>
          <w:kern w:val="0"/>
          <w:sz w:val="28"/>
          <w:szCs w:val="28"/>
        </w:rPr>
        <w:t>万元，其中：公务出国0万元；公务用车购置费0万元，公务用车运行费0万元；公务接待</w:t>
      </w:r>
      <w:r>
        <w:rPr>
          <w:rFonts w:hint="eastAsia" w:ascii="宋体" w:hAnsi="宋体" w:cs="仿宋_GB2312"/>
          <w:color w:val="000000"/>
          <w:kern w:val="0"/>
          <w:sz w:val="28"/>
          <w:szCs w:val="28"/>
          <w:lang w:val="en-US" w:eastAsia="zh-CN"/>
        </w:rPr>
        <w:t>0.06</w:t>
      </w:r>
      <w:r>
        <w:rPr>
          <w:rFonts w:hint="eastAsia" w:ascii="宋体" w:hAnsi="宋体" w:cs="仿宋_GB2312"/>
          <w:color w:val="000000"/>
          <w:kern w:val="0"/>
          <w:sz w:val="28"/>
          <w:szCs w:val="28"/>
        </w:rPr>
        <w:t>万元。202</w:t>
      </w:r>
      <w:r>
        <w:rPr>
          <w:rFonts w:hint="eastAsia" w:ascii="宋体" w:hAnsi="宋体" w:cs="仿宋_GB2312"/>
          <w:color w:val="000000"/>
          <w:kern w:val="0"/>
          <w:sz w:val="28"/>
          <w:szCs w:val="28"/>
          <w:lang w:val="en-US" w:eastAsia="zh-CN"/>
        </w:rPr>
        <w:t>3</w:t>
      </w:r>
      <w:r>
        <w:rPr>
          <w:rFonts w:hint="eastAsia" w:ascii="宋体" w:hAnsi="宋体" w:cs="仿宋_GB2312"/>
          <w:color w:val="000000"/>
          <w:kern w:val="0"/>
          <w:sz w:val="28"/>
          <w:szCs w:val="28"/>
        </w:rPr>
        <w:t>年三公经费</w:t>
      </w:r>
      <w:r>
        <w:rPr>
          <w:rFonts w:hint="eastAsia" w:ascii="宋体" w:hAnsi="宋体" w:cs="仿宋_GB2312"/>
          <w:color w:val="000000"/>
          <w:kern w:val="0"/>
          <w:sz w:val="28"/>
          <w:szCs w:val="28"/>
          <w:lang w:eastAsia="zh-CN"/>
        </w:rPr>
        <w:t>减少</w:t>
      </w:r>
      <w:r>
        <w:rPr>
          <w:rFonts w:hint="eastAsia" w:ascii="宋体" w:hAnsi="宋体" w:cs="仿宋_GB2312"/>
          <w:color w:val="000000"/>
          <w:kern w:val="0"/>
          <w:sz w:val="28"/>
          <w:szCs w:val="28"/>
        </w:rPr>
        <w:t>的主要原因是</w:t>
      </w:r>
      <w:r>
        <w:rPr>
          <w:rFonts w:hint="eastAsia" w:ascii="宋体" w:hAnsi="宋体" w:cs="仿宋_GB2312"/>
          <w:color w:val="000000"/>
          <w:kern w:val="0"/>
          <w:sz w:val="28"/>
          <w:szCs w:val="28"/>
          <w:lang w:val="en-US" w:eastAsia="zh-CN"/>
        </w:rPr>
        <w:t>本年调出1人，</w:t>
      </w:r>
      <w:r>
        <w:rPr>
          <w:rFonts w:hint="eastAsia" w:ascii="宋体" w:hAnsi="宋体" w:cs="仿宋_GB2312"/>
          <w:color w:val="000000"/>
          <w:kern w:val="0"/>
          <w:sz w:val="28"/>
          <w:szCs w:val="28"/>
        </w:rPr>
        <w:t>公务接待费</w:t>
      </w:r>
      <w:r>
        <w:rPr>
          <w:rFonts w:hint="eastAsia" w:ascii="宋体" w:hAnsi="宋体" w:cs="仿宋_GB2312"/>
          <w:color w:val="000000"/>
          <w:kern w:val="0"/>
          <w:sz w:val="28"/>
          <w:szCs w:val="28"/>
          <w:lang w:eastAsia="zh-CN"/>
        </w:rPr>
        <w:t>减少</w:t>
      </w:r>
      <w:r>
        <w:rPr>
          <w:rFonts w:hint="eastAsia" w:ascii="宋体" w:hAnsi="宋体" w:cs="仿宋_GB2312"/>
          <w:color w:val="000000"/>
          <w:kern w:val="0"/>
          <w:sz w:val="28"/>
          <w:szCs w:val="28"/>
        </w:rPr>
        <w:t>0.0</w:t>
      </w:r>
      <w:r>
        <w:rPr>
          <w:rFonts w:hint="eastAsia" w:ascii="宋体" w:hAnsi="宋体" w:cs="仿宋_GB2312"/>
          <w:color w:val="000000"/>
          <w:kern w:val="0"/>
          <w:sz w:val="28"/>
          <w:szCs w:val="28"/>
          <w:lang w:val="en-US" w:eastAsia="zh-CN"/>
        </w:rPr>
        <w:t>1</w:t>
      </w:r>
      <w:r>
        <w:rPr>
          <w:rFonts w:hint="eastAsia" w:ascii="宋体" w:hAnsi="宋体" w:cs="仿宋_GB2312"/>
          <w:color w:val="000000"/>
          <w:kern w:val="0"/>
          <w:sz w:val="28"/>
          <w:szCs w:val="28"/>
        </w:rPr>
        <w:t>万元。</w:t>
      </w:r>
    </w:p>
    <w:p>
      <w:pPr>
        <w:pStyle w:val="18"/>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1、国有企业管理系统升级维护经费绩效目标表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1.加强对全区国有资产存量、分布的统计分析。</w:t>
            </w:r>
            <w:r>
              <w:tab/>
            </w:r>
            <w:r>
              <w:tab/>
            </w:r>
            <w:r>
              <w:tab/>
            </w:r>
            <w:r>
              <w:tab/>
            </w:r>
            <w:r>
              <w:tab/>
            </w:r>
            <w:r>
              <w:tab/>
            </w:r>
          </w:p>
          <w:p>
            <w:pPr>
              <w:pStyle w:val="10"/>
            </w:pPr>
          </w:p>
          <w:p>
            <w:pPr>
              <w:pStyle w:val="10"/>
            </w:pPr>
            <w:r>
              <w:t>2.加强对全区国有资产运营效益等情况的统计分析。</w:t>
            </w:r>
            <w:r>
              <w:tab/>
            </w:r>
            <w:r>
              <w:tab/>
            </w:r>
            <w:r>
              <w:tab/>
            </w:r>
            <w:r>
              <w:tab/>
            </w:r>
            <w:r>
              <w:tab/>
            </w:r>
            <w:r>
              <w:tab/>
            </w:r>
          </w:p>
          <w:p>
            <w:pPr>
              <w:pStyle w:val="10"/>
            </w:pPr>
          </w:p>
          <w:p>
            <w:pPr>
              <w:pStyle w:val="10"/>
            </w:pPr>
            <w:r>
              <w:t>3.更好地为工管委领导提供及时、准确、直观的决策依据。</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完成系统研发次数</w:t>
            </w:r>
          </w:p>
        </w:tc>
        <w:tc>
          <w:tcPr>
            <w:tcW w:w="2835" w:type="dxa"/>
            <w:vAlign w:val="center"/>
          </w:tcPr>
          <w:p>
            <w:pPr>
              <w:pStyle w:val="10"/>
            </w:pPr>
            <w:r>
              <w:t>完成系统维护、升级、更新次数</w:t>
            </w:r>
          </w:p>
        </w:tc>
        <w:tc>
          <w:tcPr>
            <w:tcW w:w="2551" w:type="dxa"/>
            <w:vAlign w:val="center"/>
          </w:tcPr>
          <w:p>
            <w:pPr>
              <w:pStyle w:val="10"/>
            </w:pPr>
            <w:r>
              <w:t>≥1次</w:t>
            </w:r>
          </w:p>
        </w:tc>
        <w:tc>
          <w:tcPr>
            <w:tcW w:w="2268" w:type="dxa"/>
            <w:vAlign w:val="center"/>
          </w:tcPr>
          <w:p>
            <w:pPr>
              <w:pStyle w:val="10"/>
            </w:pPr>
            <w:r>
              <w:t>实际开发进度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国有企业管理系统运行正常比例</w:t>
            </w:r>
          </w:p>
        </w:tc>
        <w:tc>
          <w:tcPr>
            <w:tcW w:w="2835" w:type="dxa"/>
            <w:vAlign w:val="center"/>
          </w:tcPr>
          <w:p>
            <w:pPr>
              <w:pStyle w:val="10"/>
            </w:pPr>
            <w:r>
              <w:t>国有企业管理系统运行正常比例</w:t>
            </w:r>
          </w:p>
        </w:tc>
        <w:tc>
          <w:tcPr>
            <w:tcW w:w="2551" w:type="dxa"/>
            <w:vAlign w:val="center"/>
          </w:tcPr>
          <w:p>
            <w:pPr>
              <w:pStyle w:val="10"/>
            </w:pPr>
            <w:r>
              <w:t>100%</w:t>
            </w:r>
          </w:p>
        </w:tc>
        <w:tc>
          <w:tcPr>
            <w:tcW w:w="2268" w:type="dxa"/>
            <w:vAlign w:val="center"/>
          </w:tcPr>
          <w:p>
            <w:pPr>
              <w:pStyle w:val="10"/>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tc>
        <w:tc>
          <w:tcPr>
            <w:tcW w:w="2835" w:type="dxa"/>
            <w:vAlign w:val="center"/>
          </w:tcPr>
          <w:p>
            <w:pPr>
              <w:pStyle w:val="10"/>
            </w:pPr>
            <w:r>
              <w:t>按照合同规定完成系统进一步升级、维护情况</w:t>
            </w:r>
          </w:p>
        </w:tc>
        <w:tc>
          <w:tcPr>
            <w:tcW w:w="2551" w:type="dxa"/>
            <w:vAlign w:val="center"/>
          </w:tcPr>
          <w:p>
            <w:pPr>
              <w:pStyle w:val="10"/>
            </w:pPr>
            <w:r>
              <w:t>12月底之前</w:t>
            </w:r>
          </w:p>
        </w:tc>
        <w:tc>
          <w:tcPr>
            <w:tcW w:w="2268" w:type="dxa"/>
            <w:vAlign w:val="center"/>
          </w:tcPr>
          <w:p>
            <w:pPr>
              <w:pStyle w:val="10"/>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成本控制数</w:t>
            </w:r>
          </w:p>
        </w:tc>
        <w:tc>
          <w:tcPr>
            <w:tcW w:w="2835" w:type="dxa"/>
            <w:vAlign w:val="center"/>
          </w:tcPr>
          <w:p>
            <w:pPr>
              <w:pStyle w:val="10"/>
            </w:pPr>
            <w:r>
              <w:t>成本控制数小于等于预算数</w:t>
            </w:r>
          </w:p>
        </w:tc>
        <w:tc>
          <w:tcPr>
            <w:tcW w:w="2551" w:type="dxa"/>
            <w:vAlign w:val="center"/>
          </w:tcPr>
          <w:p>
            <w:pPr>
              <w:pStyle w:val="10"/>
            </w:pPr>
            <w:r>
              <w:t>≤10万元</w:t>
            </w:r>
          </w:p>
        </w:tc>
        <w:tc>
          <w:tcPr>
            <w:tcW w:w="2268" w:type="dxa"/>
            <w:vAlign w:val="center"/>
          </w:tcPr>
          <w:p>
            <w:pPr>
              <w:pStyle w:val="1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可持续影响指标</w:t>
            </w:r>
          </w:p>
        </w:tc>
        <w:tc>
          <w:tcPr>
            <w:tcW w:w="2835" w:type="dxa"/>
            <w:vAlign w:val="center"/>
          </w:tcPr>
          <w:p>
            <w:pPr>
              <w:pStyle w:val="10"/>
            </w:pPr>
            <w:r>
              <w:t>加强对全区国有资产存量、分布的统计分析。</w:t>
            </w:r>
          </w:p>
        </w:tc>
        <w:tc>
          <w:tcPr>
            <w:tcW w:w="2835" w:type="dxa"/>
            <w:vAlign w:val="center"/>
          </w:tcPr>
          <w:p>
            <w:pPr>
              <w:pStyle w:val="10"/>
            </w:pPr>
            <w:r>
              <w:t>加强对全区国有资产存量、分布的统计分析。</w:t>
            </w:r>
          </w:p>
        </w:tc>
        <w:tc>
          <w:tcPr>
            <w:tcW w:w="2551" w:type="dxa"/>
            <w:vAlign w:val="center"/>
          </w:tcPr>
          <w:p>
            <w:pPr>
              <w:pStyle w:val="10"/>
            </w:pPr>
            <w:r>
              <w:t>比上年提升</w:t>
            </w:r>
          </w:p>
        </w:tc>
        <w:tc>
          <w:tcPr>
            <w:tcW w:w="2268" w:type="dxa"/>
            <w:vAlign w:val="center"/>
          </w:tcPr>
          <w:p>
            <w:pPr>
              <w:pStyle w:val="10"/>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提升公共服务水平</w:t>
            </w:r>
          </w:p>
        </w:tc>
        <w:tc>
          <w:tcPr>
            <w:tcW w:w="2835" w:type="dxa"/>
            <w:vAlign w:val="center"/>
          </w:tcPr>
          <w:p>
            <w:pPr>
              <w:pStyle w:val="10"/>
            </w:pPr>
            <w:r>
              <w:t>提升公共服务水平</w:t>
            </w:r>
          </w:p>
        </w:tc>
        <w:tc>
          <w:tcPr>
            <w:tcW w:w="2551" w:type="dxa"/>
            <w:vAlign w:val="center"/>
          </w:tcPr>
          <w:p>
            <w:pPr>
              <w:pStyle w:val="10"/>
            </w:pPr>
            <w:r>
              <w:t>比上年提升</w:t>
            </w:r>
          </w:p>
        </w:tc>
        <w:tc>
          <w:tcPr>
            <w:tcW w:w="2268" w:type="dxa"/>
            <w:vAlign w:val="center"/>
          </w:tcPr>
          <w:p>
            <w:pPr>
              <w:pStyle w:val="10"/>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经济效益指标</w:t>
            </w:r>
          </w:p>
        </w:tc>
        <w:tc>
          <w:tcPr>
            <w:tcW w:w="2835" w:type="dxa"/>
            <w:vAlign w:val="center"/>
          </w:tcPr>
          <w:p>
            <w:pPr>
              <w:pStyle w:val="10"/>
            </w:pPr>
            <w:r>
              <w:t>保障区级经济正常运转</w:t>
            </w:r>
          </w:p>
        </w:tc>
        <w:tc>
          <w:tcPr>
            <w:tcW w:w="2835" w:type="dxa"/>
            <w:vAlign w:val="center"/>
          </w:tcPr>
          <w:p>
            <w:pPr>
              <w:pStyle w:val="10"/>
            </w:pPr>
            <w:r>
              <w:t>持续监管国有企业经营管理情况，保障区级经济正常运转</w:t>
            </w:r>
          </w:p>
        </w:tc>
        <w:tc>
          <w:tcPr>
            <w:tcW w:w="2551" w:type="dxa"/>
            <w:vAlign w:val="center"/>
          </w:tcPr>
          <w:p>
            <w:pPr>
              <w:pStyle w:val="10"/>
            </w:pPr>
            <w:r>
              <w:t>比上年提升</w:t>
            </w:r>
          </w:p>
        </w:tc>
        <w:tc>
          <w:tcPr>
            <w:tcW w:w="2268" w:type="dxa"/>
            <w:vAlign w:val="center"/>
          </w:tcPr>
          <w:p>
            <w:pPr>
              <w:pStyle w:val="10"/>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满意度指标</w:t>
            </w:r>
          </w:p>
        </w:tc>
        <w:tc>
          <w:tcPr>
            <w:tcW w:w="2835" w:type="dxa"/>
            <w:vAlign w:val="center"/>
          </w:tcPr>
          <w:p>
            <w:pPr>
              <w:pStyle w:val="10"/>
            </w:pPr>
            <w:r>
              <w:t>使用人员满意度度</w:t>
            </w:r>
          </w:p>
        </w:tc>
        <w:tc>
          <w:tcPr>
            <w:tcW w:w="2551" w:type="dxa"/>
            <w:vAlign w:val="center"/>
          </w:tcPr>
          <w:p>
            <w:pPr>
              <w:pStyle w:val="10"/>
            </w:pPr>
            <w:r>
              <w:t>≥90%</w:t>
            </w:r>
          </w:p>
        </w:tc>
        <w:tc>
          <w:tcPr>
            <w:tcW w:w="2268" w:type="dxa"/>
            <w:vAlign w:val="center"/>
          </w:tcPr>
          <w:p>
            <w:pPr>
              <w:pStyle w:val="10"/>
            </w:pPr>
            <w:r>
              <w:t>实际情况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2、国有企业培训经费绩效目标表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1.通过对国有企业培训，加强国资监管力度。</w:t>
            </w:r>
            <w:r>
              <w:tab/>
            </w:r>
            <w:r>
              <w:tab/>
            </w:r>
            <w:r>
              <w:tab/>
            </w:r>
            <w:r>
              <w:tab/>
            </w:r>
            <w:r>
              <w:tab/>
            </w:r>
            <w:r>
              <w:tab/>
            </w:r>
          </w:p>
          <w:p>
            <w:pPr>
              <w:pStyle w:val="10"/>
            </w:pPr>
          </w:p>
          <w:p>
            <w:pPr>
              <w:pStyle w:val="10"/>
            </w:pPr>
            <w:r>
              <w:t>2.通过对国有企业培训，促进国有企业发展</w:t>
            </w:r>
            <w:r>
              <w:tab/>
            </w:r>
            <w:r>
              <w:tab/>
            </w:r>
            <w:r>
              <w:tab/>
            </w:r>
            <w:r>
              <w:tab/>
            </w:r>
            <w:r>
              <w:tab/>
            </w:r>
            <w:r>
              <w:tab/>
            </w:r>
          </w:p>
          <w:p>
            <w:pPr>
              <w:pStyle w:val="10"/>
            </w:pPr>
          </w:p>
          <w:p>
            <w:pPr>
              <w:pStyle w:val="10"/>
            </w:pPr>
            <w:r>
              <w:t>3.通过对国有企业培训，提供人才保障</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培训企业数量</w:t>
            </w:r>
          </w:p>
        </w:tc>
        <w:tc>
          <w:tcPr>
            <w:tcW w:w="2835" w:type="dxa"/>
            <w:vAlign w:val="center"/>
          </w:tcPr>
          <w:p>
            <w:pPr>
              <w:pStyle w:val="10"/>
            </w:pPr>
            <w:r>
              <w:t>组织培训的国有企业数</w:t>
            </w:r>
          </w:p>
        </w:tc>
        <w:tc>
          <w:tcPr>
            <w:tcW w:w="2551" w:type="dxa"/>
            <w:vAlign w:val="center"/>
          </w:tcPr>
          <w:p>
            <w:pPr>
              <w:pStyle w:val="10"/>
            </w:pPr>
            <w:r>
              <w:t>≥95家</w:t>
            </w:r>
          </w:p>
        </w:tc>
        <w:tc>
          <w:tcPr>
            <w:tcW w:w="2268" w:type="dxa"/>
            <w:vAlign w:val="center"/>
          </w:tcPr>
          <w:p>
            <w:pPr>
              <w:pStyle w:val="10"/>
            </w:pPr>
            <w: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培训覆盖率（%）</w:t>
            </w:r>
          </w:p>
        </w:tc>
        <w:tc>
          <w:tcPr>
            <w:tcW w:w="2835" w:type="dxa"/>
            <w:vAlign w:val="center"/>
          </w:tcPr>
          <w:p>
            <w:pPr>
              <w:pStyle w:val="10"/>
            </w:pPr>
            <w:r>
              <w:t>培训对象数量占应覆盖对象数量的比率</w:t>
            </w:r>
          </w:p>
        </w:tc>
        <w:tc>
          <w:tcPr>
            <w:tcW w:w="2551" w:type="dxa"/>
            <w:vAlign w:val="center"/>
          </w:tcPr>
          <w:p>
            <w:pPr>
              <w:pStyle w:val="10"/>
            </w:pPr>
            <w:r>
              <w:t>≥95%</w:t>
            </w:r>
          </w:p>
        </w:tc>
        <w:tc>
          <w:tcPr>
            <w:tcW w:w="2268" w:type="dxa"/>
            <w:vAlign w:val="center"/>
          </w:tcPr>
          <w:p>
            <w:pPr>
              <w:pStyle w:val="10"/>
            </w:pPr>
            <w: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培训天数</w:t>
            </w:r>
          </w:p>
        </w:tc>
        <w:tc>
          <w:tcPr>
            <w:tcW w:w="2835" w:type="dxa"/>
            <w:vAlign w:val="center"/>
          </w:tcPr>
          <w:p>
            <w:pPr>
              <w:pStyle w:val="10"/>
            </w:pPr>
            <w:r>
              <w:t>培训天数</w:t>
            </w:r>
          </w:p>
        </w:tc>
        <w:tc>
          <w:tcPr>
            <w:tcW w:w="2551" w:type="dxa"/>
            <w:vAlign w:val="center"/>
          </w:tcPr>
          <w:p>
            <w:pPr>
              <w:pStyle w:val="10"/>
            </w:pPr>
            <w:r>
              <w:t>≥14天</w:t>
            </w:r>
          </w:p>
        </w:tc>
        <w:tc>
          <w:tcPr>
            <w:tcW w:w="2268" w:type="dxa"/>
            <w:vAlign w:val="center"/>
          </w:tcPr>
          <w:p>
            <w:pPr>
              <w:pStyle w:val="10"/>
            </w:pPr>
            <w:r>
              <w:t>培训通知及结算单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工作完成及时率</w:t>
            </w:r>
          </w:p>
        </w:tc>
        <w:tc>
          <w:tcPr>
            <w:tcW w:w="2835" w:type="dxa"/>
            <w:vAlign w:val="center"/>
          </w:tcPr>
          <w:p>
            <w:pPr>
              <w:pStyle w:val="10"/>
            </w:pPr>
            <w:r>
              <w:t>工作完成及时率</w:t>
            </w:r>
          </w:p>
        </w:tc>
        <w:tc>
          <w:tcPr>
            <w:tcW w:w="2551" w:type="dxa"/>
            <w:vAlign w:val="center"/>
          </w:tcPr>
          <w:p>
            <w:pPr>
              <w:pStyle w:val="10"/>
            </w:pPr>
            <w:r>
              <w:t>100%</w:t>
            </w:r>
          </w:p>
        </w:tc>
        <w:tc>
          <w:tcPr>
            <w:tcW w:w="2268" w:type="dxa"/>
            <w:vAlign w:val="center"/>
          </w:tcPr>
          <w:p>
            <w:pPr>
              <w:pStyle w:val="10"/>
            </w:pPr>
            <w:r>
              <w:t>培训通知及结算单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成本控制数</w:t>
            </w:r>
          </w:p>
        </w:tc>
        <w:tc>
          <w:tcPr>
            <w:tcW w:w="2835" w:type="dxa"/>
            <w:vAlign w:val="center"/>
          </w:tcPr>
          <w:p>
            <w:pPr>
              <w:pStyle w:val="10"/>
            </w:pPr>
            <w:r>
              <w:t>单次培训人均380元</w:t>
            </w:r>
          </w:p>
        </w:tc>
        <w:tc>
          <w:tcPr>
            <w:tcW w:w="2551" w:type="dxa"/>
            <w:vAlign w:val="center"/>
          </w:tcPr>
          <w:p>
            <w:pPr>
              <w:pStyle w:val="10"/>
            </w:pPr>
            <w:r>
              <w:t>≤5万元</w:t>
            </w:r>
          </w:p>
        </w:tc>
        <w:tc>
          <w:tcPr>
            <w:tcW w:w="2268" w:type="dxa"/>
            <w:vAlign w:val="center"/>
          </w:tcPr>
          <w:p>
            <w:pPr>
              <w:pStyle w:val="10"/>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可持续影响指标</w:t>
            </w:r>
          </w:p>
        </w:tc>
        <w:tc>
          <w:tcPr>
            <w:tcW w:w="2835" w:type="dxa"/>
            <w:vAlign w:val="center"/>
          </w:tcPr>
          <w:p>
            <w:pPr>
              <w:pStyle w:val="10"/>
            </w:pPr>
            <w:r>
              <w:t>加强国资监管力度，促进国有企业发展</w:t>
            </w:r>
          </w:p>
        </w:tc>
        <w:tc>
          <w:tcPr>
            <w:tcW w:w="2835" w:type="dxa"/>
            <w:vAlign w:val="center"/>
          </w:tcPr>
          <w:p>
            <w:pPr>
              <w:pStyle w:val="10"/>
            </w:pPr>
            <w:r>
              <w:t>加强国资监管力度，促进国有企业发展</w:t>
            </w:r>
          </w:p>
        </w:tc>
        <w:tc>
          <w:tcPr>
            <w:tcW w:w="2551" w:type="dxa"/>
            <w:vAlign w:val="center"/>
          </w:tcPr>
          <w:p>
            <w:pPr>
              <w:pStyle w:val="10"/>
            </w:pPr>
            <w:r>
              <w:t>比上年提升</w:t>
            </w:r>
          </w:p>
        </w:tc>
        <w:tc>
          <w:tcPr>
            <w:tcW w:w="2268" w:type="dxa"/>
            <w:vAlign w:val="center"/>
          </w:tcPr>
          <w:p>
            <w:pPr>
              <w:pStyle w:val="10"/>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提升人才的业务保障能力</w:t>
            </w:r>
          </w:p>
        </w:tc>
        <w:tc>
          <w:tcPr>
            <w:tcW w:w="2835" w:type="dxa"/>
            <w:vAlign w:val="center"/>
          </w:tcPr>
          <w:p>
            <w:pPr>
              <w:pStyle w:val="10"/>
            </w:pPr>
            <w:r>
              <w:t>提升人才的业务保障能力</w:t>
            </w:r>
          </w:p>
        </w:tc>
        <w:tc>
          <w:tcPr>
            <w:tcW w:w="2551" w:type="dxa"/>
            <w:vAlign w:val="center"/>
          </w:tcPr>
          <w:p>
            <w:pPr>
              <w:pStyle w:val="10"/>
            </w:pPr>
            <w:r>
              <w:t>比上年提升</w:t>
            </w:r>
          </w:p>
        </w:tc>
        <w:tc>
          <w:tcPr>
            <w:tcW w:w="2268" w:type="dxa"/>
            <w:vAlign w:val="center"/>
          </w:tcPr>
          <w:p>
            <w:pPr>
              <w:pStyle w:val="10"/>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受众群体满意度</w:t>
            </w:r>
          </w:p>
        </w:tc>
        <w:tc>
          <w:tcPr>
            <w:tcW w:w="2835" w:type="dxa"/>
            <w:vAlign w:val="center"/>
          </w:tcPr>
          <w:p>
            <w:pPr>
              <w:pStyle w:val="10"/>
            </w:pPr>
            <w:r>
              <w:t xml:space="preserve">  对使用者进行调查满意度</w:t>
            </w:r>
          </w:p>
        </w:tc>
        <w:tc>
          <w:tcPr>
            <w:tcW w:w="2551" w:type="dxa"/>
            <w:vAlign w:val="center"/>
          </w:tcPr>
          <w:p>
            <w:pPr>
              <w:pStyle w:val="10"/>
            </w:pPr>
            <w:r>
              <w:t>≥95%</w:t>
            </w:r>
          </w:p>
        </w:tc>
        <w:tc>
          <w:tcPr>
            <w:tcW w:w="2268" w:type="dxa"/>
            <w:vAlign w:val="center"/>
          </w:tcPr>
          <w:p>
            <w:pPr>
              <w:pStyle w:val="10"/>
            </w:pPr>
            <w:r>
              <w:t>现场反馈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3、专项业务费</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1.圆满完成国有企业对接、培训、监管等工作任务。</w:t>
            </w:r>
            <w:r>
              <w:tab/>
            </w:r>
            <w:r>
              <w:tab/>
            </w:r>
            <w:r>
              <w:tab/>
            </w:r>
            <w:r>
              <w:tab/>
            </w:r>
            <w:r>
              <w:tab/>
            </w:r>
            <w:r>
              <w:tab/>
            </w:r>
          </w:p>
          <w:p>
            <w:pPr>
              <w:pStyle w:val="10"/>
            </w:pPr>
          </w:p>
          <w:p>
            <w:pPr>
              <w:pStyle w:val="10"/>
            </w:pPr>
            <w:r>
              <w:t>2.办公用品采购合格率达100%、各项报销规范，严格按照文件规定标准出行。</w:t>
            </w:r>
            <w:r>
              <w:tab/>
            </w:r>
            <w:r>
              <w:tab/>
            </w:r>
            <w:r>
              <w:tab/>
            </w:r>
            <w:r>
              <w:tab/>
            </w:r>
            <w:r>
              <w:tab/>
            </w:r>
            <w:r>
              <w:tab/>
            </w:r>
          </w:p>
          <w:p>
            <w:pPr>
              <w:pStyle w:val="10"/>
            </w:pPr>
          </w:p>
          <w:p>
            <w:pPr>
              <w:pStyle w:val="10"/>
            </w:pPr>
            <w:r>
              <w:t>3.统筹推进秦皇岛市国资国企在线监管系统建设工作，形成上下联动的信息化监管格局。</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采购完成率</w:t>
            </w:r>
          </w:p>
        </w:tc>
        <w:tc>
          <w:tcPr>
            <w:tcW w:w="2835" w:type="dxa"/>
            <w:vAlign w:val="center"/>
          </w:tcPr>
          <w:p>
            <w:pPr>
              <w:pStyle w:val="10"/>
            </w:pPr>
            <w:r>
              <w:t>实际采购数量/实际需求数量*100%</w:t>
            </w:r>
          </w:p>
        </w:tc>
        <w:tc>
          <w:tcPr>
            <w:tcW w:w="2551" w:type="dxa"/>
            <w:vAlign w:val="center"/>
          </w:tcPr>
          <w:p>
            <w:pPr>
              <w:pStyle w:val="10"/>
            </w:pPr>
            <w:r>
              <w:t>100%</w:t>
            </w:r>
          </w:p>
        </w:tc>
        <w:tc>
          <w:tcPr>
            <w:tcW w:w="2268"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购置合格率（%）</w:t>
            </w:r>
          </w:p>
        </w:tc>
        <w:tc>
          <w:tcPr>
            <w:tcW w:w="2835" w:type="dxa"/>
            <w:vAlign w:val="center"/>
          </w:tcPr>
          <w:p>
            <w:pPr>
              <w:pStyle w:val="10"/>
            </w:pPr>
            <w:r>
              <w:t>采购用品验收合格数量与需验收用品数量的比例</w:t>
            </w:r>
          </w:p>
        </w:tc>
        <w:tc>
          <w:tcPr>
            <w:tcW w:w="2551" w:type="dxa"/>
            <w:vAlign w:val="center"/>
          </w:tcPr>
          <w:p>
            <w:pPr>
              <w:pStyle w:val="10"/>
            </w:pPr>
            <w:r>
              <w:t>100%</w:t>
            </w:r>
          </w:p>
        </w:tc>
        <w:tc>
          <w:tcPr>
            <w:tcW w:w="2268" w:type="dxa"/>
            <w:vAlign w:val="center"/>
          </w:tcPr>
          <w:p>
            <w:pPr>
              <w:pStyle w:val="10"/>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工作完成及时率</w:t>
            </w:r>
          </w:p>
        </w:tc>
        <w:tc>
          <w:tcPr>
            <w:tcW w:w="2835" w:type="dxa"/>
            <w:vAlign w:val="center"/>
          </w:tcPr>
          <w:p>
            <w:pPr>
              <w:pStyle w:val="10"/>
            </w:pPr>
            <w:r>
              <w:t>工作完成及时率</w:t>
            </w:r>
          </w:p>
        </w:tc>
        <w:tc>
          <w:tcPr>
            <w:tcW w:w="2551" w:type="dxa"/>
            <w:vAlign w:val="center"/>
          </w:tcPr>
          <w:p>
            <w:pPr>
              <w:pStyle w:val="10"/>
            </w:pPr>
            <w:r>
              <w:t>100%</w:t>
            </w:r>
          </w:p>
        </w:tc>
        <w:tc>
          <w:tcPr>
            <w:tcW w:w="2268" w:type="dxa"/>
            <w:vAlign w:val="center"/>
          </w:tcPr>
          <w:p>
            <w:pPr>
              <w:pStyle w:val="10"/>
            </w:pPr>
            <w:r>
              <w:t>合同及年度工作计划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购置计划执行率</w:t>
            </w:r>
          </w:p>
        </w:tc>
        <w:tc>
          <w:tcPr>
            <w:tcW w:w="2835" w:type="dxa"/>
            <w:vAlign w:val="center"/>
          </w:tcPr>
          <w:p>
            <w:pPr>
              <w:pStyle w:val="10"/>
            </w:pPr>
            <w:r>
              <w:t>为保障办公需求，办公用品采购时限为3-5天，计划执行率=实际采购天数达标数量/总采购数量*100%</w:t>
            </w:r>
          </w:p>
        </w:tc>
        <w:tc>
          <w:tcPr>
            <w:tcW w:w="2551" w:type="dxa"/>
            <w:vAlign w:val="center"/>
          </w:tcPr>
          <w:p>
            <w:pPr>
              <w:pStyle w:val="10"/>
            </w:pPr>
            <w:r>
              <w:t>100%</w:t>
            </w:r>
          </w:p>
        </w:tc>
        <w:tc>
          <w:tcPr>
            <w:tcW w:w="2268" w:type="dxa"/>
            <w:vAlign w:val="center"/>
          </w:tcPr>
          <w:p>
            <w:pPr>
              <w:pStyle w:val="10"/>
            </w:pPr>
            <w:r>
              <w:t>合同及年度工作计划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成本控制数</w:t>
            </w:r>
          </w:p>
        </w:tc>
        <w:tc>
          <w:tcPr>
            <w:tcW w:w="2835" w:type="dxa"/>
            <w:vAlign w:val="center"/>
          </w:tcPr>
          <w:p>
            <w:pPr>
              <w:pStyle w:val="10"/>
            </w:pPr>
            <w:r>
              <w:t>实际成本小于等于预算数</w:t>
            </w:r>
          </w:p>
        </w:tc>
        <w:tc>
          <w:tcPr>
            <w:tcW w:w="2551" w:type="dxa"/>
            <w:vAlign w:val="center"/>
          </w:tcPr>
          <w:p>
            <w:pPr>
              <w:pStyle w:val="10"/>
            </w:pPr>
            <w:r>
              <w:t>≤10万元</w:t>
            </w:r>
          </w:p>
        </w:tc>
        <w:tc>
          <w:tcPr>
            <w:tcW w:w="2268" w:type="dxa"/>
            <w:vAlign w:val="center"/>
          </w:tcPr>
          <w:p>
            <w:pPr>
              <w:pStyle w:val="10"/>
            </w:pPr>
            <w:r>
              <w:t>合同及年度工作计划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可持续影响指标</w:t>
            </w:r>
          </w:p>
        </w:tc>
        <w:tc>
          <w:tcPr>
            <w:tcW w:w="2835" w:type="dxa"/>
            <w:vAlign w:val="center"/>
          </w:tcPr>
          <w:p>
            <w:pPr>
              <w:pStyle w:val="10"/>
            </w:pPr>
            <w:r>
              <w:t>统筹推进秦皇岛市国资国企在线监管系统建设工作，形成上下联动的信息化监管格局。</w:t>
            </w:r>
          </w:p>
        </w:tc>
        <w:tc>
          <w:tcPr>
            <w:tcW w:w="2835" w:type="dxa"/>
            <w:vAlign w:val="center"/>
          </w:tcPr>
          <w:p>
            <w:pPr>
              <w:pStyle w:val="10"/>
            </w:pPr>
            <w:r>
              <w:t>统筹推进秦皇岛市国资国企在线监管系统建设工作，形成上下联动的信息化监管格局。</w:t>
            </w:r>
          </w:p>
        </w:tc>
        <w:tc>
          <w:tcPr>
            <w:tcW w:w="2551" w:type="dxa"/>
            <w:vAlign w:val="center"/>
          </w:tcPr>
          <w:p>
            <w:pPr>
              <w:pStyle w:val="10"/>
            </w:pPr>
            <w:r>
              <w:t>比上年提升</w:t>
            </w:r>
          </w:p>
        </w:tc>
        <w:tc>
          <w:tcPr>
            <w:tcW w:w="2268" w:type="dxa"/>
            <w:vAlign w:val="center"/>
          </w:tcPr>
          <w:p>
            <w:pPr>
              <w:pStyle w:val="10"/>
            </w:pPr>
            <w:r>
              <w:t>日常工作需求、年度工作计划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提升业务保障能力</w:t>
            </w:r>
          </w:p>
        </w:tc>
        <w:tc>
          <w:tcPr>
            <w:tcW w:w="2835" w:type="dxa"/>
            <w:vAlign w:val="center"/>
          </w:tcPr>
          <w:p>
            <w:pPr>
              <w:pStyle w:val="10"/>
            </w:pPr>
            <w:r>
              <w:t>提升业务保障能力</w:t>
            </w:r>
          </w:p>
        </w:tc>
        <w:tc>
          <w:tcPr>
            <w:tcW w:w="2551" w:type="dxa"/>
            <w:vAlign w:val="center"/>
          </w:tcPr>
          <w:p>
            <w:pPr>
              <w:pStyle w:val="10"/>
            </w:pPr>
            <w:r>
              <w:t>比上年提升</w:t>
            </w:r>
          </w:p>
        </w:tc>
        <w:tc>
          <w:tcPr>
            <w:tcW w:w="2268" w:type="dxa"/>
            <w:vAlign w:val="center"/>
          </w:tcPr>
          <w:p>
            <w:pPr>
              <w:pStyle w:val="10"/>
            </w:pPr>
            <w:r>
              <w:t>日常工作需求、年度工作计划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工作人员中满意和比较满意的人员数量占全部工作人员数量的比例</w:t>
            </w:r>
          </w:p>
        </w:tc>
        <w:tc>
          <w:tcPr>
            <w:tcW w:w="2835" w:type="dxa"/>
            <w:vAlign w:val="center"/>
          </w:tcPr>
          <w:p>
            <w:pPr>
              <w:pStyle w:val="10"/>
            </w:pPr>
            <w:r>
              <w:t>工作人员中满意和比较满意的人员数量占全部工作人员数量的比例</w:t>
            </w:r>
          </w:p>
        </w:tc>
        <w:tc>
          <w:tcPr>
            <w:tcW w:w="2551" w:type="dxa"/>
            <w:vAlign w:val="center"/>
          </w:tcPr>
          <w:p>
            <w:pPr>
              <w:pStyle w:val="10"/>
            </w:pPr>
            <w:r>
              <w:t>≥95%</w:t>
            </w:r>
          </w:p>
        </w:tc>
        <w:tc>
          <w:tcPr>
            <w:tcW w:w="2268" w:type="dxa"/>
            <w:vAlign w:val="center"/>
          </w:tcPr>
          <w:p>
            <w:pPr>
              <w:pStyle w:val="10"/>
            </w:pPr>
            <w:r>
              <w:t>满意度调查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2023年，秦皇岛经济技术开发区国有资产监督管理办公室（本级）安排政府采购预算0.00万元。具体内容见下表。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5"/>
            </w:pPr>
            <w:r>
              <w:t>381001秦皇岛经济技术开发区国有资产监督管理办公室（本级）</w:t>
            </w:r>
          </w:p>
        </w:tc>
        <w:tc>
          <w:tcPr>
            <w:tcW w:w="8674" w:type="dxa"/>
            <w:gridSpan w:val="9"/>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p>
        </w:tc>
        <w:tc>
          <w:tcPr>
            <w:tcW w:w="964" w:type="dxa"/>
            <w:vAlign w:val="center"/>
          </w:tcPr>
          <w:p>
            <w:pPr>
              <w:pStyle w:val="11"/>
            </w:pPr>
          </w:p>
        </w:tc>
        <w:tc>
          <w:tcPr>
            <w:tcW w:w="1134" w:type="dxa"/>
            <w:vAlign w:val="center"/>
          </w:tcPr>
          <w:p>
            <w:pPr>
              <w:pStyle w:val="10"/>
            </w:pPr>
          </w:p>
        </w:tc>
        <w:tc>
          <w:tcPr>
            <w:tcW w:w="1134" w:type="dxa"/>
            <w:vAlign w:val="center"/>
          </w:tcPr>
          <w:p>
            <w:pPr>
              <w:pStyle w:val="10"/>
            </w:pPr>
          </w:p>
        </w:tc>
        <w:tc>
          <w:tcPr>
            <w:tcW w:w="709" w:type="dxa"/>
            <w:vAlign w:val="center"/>
          </w:tcPr>
          <w:p>
            <w:pPr>
              <w:pStyle w:val="9"/>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秦皇岛经济技术开发区国有资产监督管理办公室（本级）上年末固定资产金额为</w:t>
      </w:r>
      <w:r>
        <w:rPr>
          <w:rFonts w:hint="eastAsia" w:eastAsia="方正仿宋_GBK" w:cs="Times New Roman"/>
          <w:b w:val="0"/>
          <w:color w:val="000000"/>
          <w:sz w:val="28"/>
          <w:lang w:val="en-US" w:eastAsia="zh-CN"/>
        </w:rPr>
        <w:t>6.14</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5"/>
            </w:pPr>
            <w:r>
              <w:t>381001秦皇岛经济技术开发区国有资产监督管理办公室（本级）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方正书宋_GBK"/>
                <w:lang w:eastAsia="zh-CN"/>
              </w:rPr>
            </w:pPr>
            <w:r>
              <w:rPr>
                <w:rFonts w:hint="eastAsia"/>
                <w:lang w:eastAsia="zh-CN"/>
              </w:rPr>
              <w:t>资产总额</w:t>
            </w:r>
          </w:p>
        </w:tc>
        <w:tc>
          <w:tcPr>
            <w:tcW w:w="2835" w:type="dxa"/>
            <w:vAlign w:val="center"/>
          </w:tcPr>
          <w:p>
            <w:pPr>
              <w:pStyle w:val="9"/>
              <w:rPr>
                <w:rFonts w:hint="default" w:eastAsia="方正书宋_GBK"/>
                <w:lang w:val="en-US" w:eastAsia="zh-CN"/>
              </w:rPr>
            </w:pPr>
            <w:r>
              <w:rPr>
                <w:rFonts w:hint="eastAsia"/>
                <w:lang w:val="en-US" w:eastAsia="zh-CN"/>
              </w:rPr>
              <w:t>---</w:t>
            </w:r>
          </w:p>
        </w:tc>
        <w:tc>
          <w:tcPr>
            <w:tcW w:w="2835" w:type="dxa"/>
            <w:vAlign w:val="center"/>
          </w:tcPr>
          <w:p>
            <w:pPr>
              <w:pStyle w:val="11"/>
              <w:rPr>
                <w:rFonts w:hint="default" w:eastAsia="方正书宋_GBK"/>
                <w:lang w:val="en-US" w:eastAsia="zh-CN"/>
              </w:rPr>
            </w:pPr>
            <w:r>
              <w:rPr>
                <w:rFonts w:hint="eastAsia"/>
                <w:lang w:val="en-US" w:eastAsia="zh-CN"/>
              </w:rPr>
              <w:t>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方正书宋_GBK"/>
                <w:lang w:val="en-US" w:eastAsia="zh-CN"/>
              </w:rPr>
            </w:pPr>
            <w:r>
              <w:rPr>
                <w:rFonts w:hint="eastAsia"/>
                <w:lang w:val="en-US" w:eastAsia="zh-CN"/>
              </w:rPr>
              <w:t>1、房屋（平方米）</w:t>
            </w:r>
          </w:p>
        </w:tc>
        <w:tc>
          <w:tcPr>
            <w:tcW w:w="2835" w:type="dxa"/>
            <w:vAlign w:val="center"/>
          </w:tcPr>
          <w:p>
            <w:pPr>
              <w:pStyle w:val="9"/>
              <w:rPr>
                <w:rFonts w:hint="eastAsia" w:eastAsia="方正书宋_GBK"/>
                <w:lang w:val="en-US" w:eastAsia="zh-CN"/>
              </w:rPr>
            </w:pPr>
            <w:r>
              <w:rPr>
                <w:rFonts w:hint="eastAsia"/>
                <w:lang w:val="en-US" w:eastAsia="zh-CN"/>
              </w:rPr>
              <w:t>0</w:t>
            </w:r>
          </w:p>
        </w:tc>
        <w:tc>
          <w:tcPr>
            <w:tcW w:w="2835" w:type="dxa"/>
            <w:vAlign w:val="center"/>
          </w:tcPr>
          <w:p>
            <w:pPr>
              <w:pStyle w:val="11"/>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方正书宋_GBK"/>
                <w:lang w:eastAsia="zh-CN"/>
              </w:rPr>
            </w:pPr>
            <w:r>
              <w:rPr>
                <w:rFonts w:hint="eastAsia"/>
                <w:lang w:eastAsia="zh-CN"/>
              </w:rPr>
              <w:t>其中：办公用房（平方米）</w:t>
            </w:r>
          </w:p>
        </w:tc>
        <w:tc>
          <w:tcPr>
            <w:tcW w:w="2835" w:type="dxa"/>
            <w:vAlign w:val="center"/>
          </w:tcPr>
          <w:p>
            <w:pPr>
              <w:pStyle w:val="9"/>
              <w:rPr>
                <w:rFonts w:hint="eastAsia" w:eastAsia="方正书宋_GBK"/>
                <w:lang w:val="en-US" w:eastAsia="zh-CN"/>
              </w:rPr>
            </w:pPr>
            <w:r>
              <w:rPr>
                <w:rFonts w:hint="eastAsia"/>
                <w:lang w:val="en-US" w:eastAsia="zh-CN"/>
              </w:rPr>
              <w:t>0</w:t>
            </w:r>
          </w:p>
        </w:tc>
        <w:tc>
          <w:tcPr>
            <w:tcW w:w="2835" w:type="dxa"/>
            <w:vAlign w:val="center"/>
          </w:tcPr>
          <w:p>
            <w:pPr>
              <w:pStyle w:val="11"/>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方正书宋_GBK"/>
                <w:lang w:val="en-US" w:eastAsia="zh-CN"/>
              </w:rPr>
            </w:pPr>
            <w:r>
              <w:rPr>
                <w:rFonts w:hint="eastAsia"/>
                <w:lang w:val="en-US" w:eastAsia="zh-CN"/>
              </w:rPr>
              <w:t>2、车辆（台、辆）</w:t>
            </w:r>
          </w:p>
        </w:tc>
        <w:tc>
          <w:tcPr>
            <w:tcW w:w="2835" w:type="dxa"/>
            <w:vAlign w:val="center"/>
          </w:tcPr>
          <w:p>
            <w:pPr>
              <w:pStyle w:val="9"/>
              <w:rPr>
                <w:rFonts w:hint="eastAsia" w:eastAsia="方正书宋_GBK"/>
                <w:lang w:val="en-US" w:eastAsia="zh-CN"/>
              </w:rPr>
            </w:pPr>
            <w:r>
              <w:rPr>
                <w:rFonts w:hint="eastAsia"/>
                <w:lang w:val="en-US" w:eastAsia="zh-CN"/>
              </w:rPr>
              <w:t>0</w:t>
            </w:r>
          </w:p>
        </w:tc>
        <w:tc>
          <w:tcPr>
            <w:tcW w:w="2835" w:type="dxa"/>
            <w:vAlign w:val="center"/>
          </w:tcPr>
          <w:p>
            <w:pPr>
              <w:pStyle w:val="11"/>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default" w:eastAsia="方正书宋_GBK"/>
                <w:lang w:val="en-US" w:eastAsia="zh-CN"/>
              </w:rPr>
            </w:pPr>
            <w:r>
              <w:rPr>
                <w:rFonts w:hint="eastAsia"/>
                <w:lang w:val="en-US" w:eastAsia="zh-CN"/>
              </w:rPr>
              <w:t>3、单价在20万以上的设备</w:t>
            </w:r>
          </w:p>
        </w:tc>
        <w:tc>
          <w:tcPr>
            <w:tcW w:w="2835" w:type="dxa"/>
            <w:vAlign w:val="center"/>
          </w:tcPr>
          <w:p>
            <w:pPr>
              <w:pStyle w:val="9"/>
              <w:rPr>
                <w:rFonts w:hint="eastAsia" w:eastAsia="方正书宋_GBK"/>
                <w:lang w:val="en-US" w:eastAsia="zh-CN"/>
              </w:rPr>
            </w:pPr>
            <w:r>
              <w:rPr>
                <w:rFonts w:hint="eastAsia"/>
                <w:lang w:val="en-US" w:eastAsia="zh-CN"/>
              </w:rPr>
              <w:t>0</w:t>
            </w:r>
          </w:p>
        </w:tc>
        <w:tc>
          <w:tcPr>
            <w:tcW w:w="2835" w:type="dxa"/>
            <w:vAlign w:val="center"/>
          </w:tcPr>
          <w:p>
            <w:pPr>
              <w:pStyle w:val="11"/>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rPr>
                <w:rFonts w:hint="eastAsia" w:eastAsia="方正书宋_GBK"/>
                <w:lang w:val="en-US" w:eastAsia="zh-CN"/>
              </w:rPr>
            </w:pPr>
            <w:r>
              <w:rPr>
                <w:rFonts w:hint="eastAsia"/>
                <w:lang w:val="en-US" w:eastAsia="zh-CN"/>
              </w:rPr>
              <w:t>4、其他固定资产</w:t>
            </w:r>
          </w:p>
        </w:tc>
        <w:tc>
          <w:tcPr>
            <w:tcW w:w="2835" w:type="dxa"/>
            <w:vAlign w:val="center"/>
          </w:tcPr>
          <w:p>
            <w:pPr>
              <w:pStyle w:val="9"/>
              <w:rPr>
                <w:rFonts w:hint="default" w:eastAsia="方正书宋_GBK"/>
                <w:lang w:val="en-US" w:eastAsia="zh-CN"/>
              </w:rPr>
            </w:pPr>
            <w:r>
              <w:rPr>
                <w:rFonts w:hint="eastAsia"/>
                <w:lang w:val="en-US" w:eastAsia="zh-CN"/>
              </w:rPr>
              <w:t>---</w:t>
            </w:r>
          </w:p>
        </w:tc>
        <w:tc>
          <w:tcPr>
            <w:tcW w:w="2835" w:type="dxa"/>
            <w:vAlign w:val="center"/>
          </w:tcPr>
          <w:p>
            <w:pPr>
              <w:pStyle w:val="11"/>
              <w:rPr>
                <w:rFonts w:hint="default" w:eastAsia="方正书宋_GBK"/>
                <w:lang w:val="en-US" w:eastAsia="zh-CN"/>
              </w:rPr>
            </w:pPr>
            <w:r>
              <w:rPr>
                <w:rFonts w:hint="eastAsia"/>
                <w:lang w:val="en-US" w:eastAsia="zh-CN"/>
              </w:rPr>
              <w:t>6.14</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区级</w:t>
      </w:r>
      <w:r>
        <w:rPr>
          <w:rFonts w:eastAsia="方正仿宋_GBK"/>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hint="eastAsia" w:eastAsiaTheme="minorEastAsia"/>
          <w:lang w:val="en-US" w:eastAsia="zh-CN"/>
        </w:rPr>
      </w:pPr>
      <w:r>
        <w:rPr>
          <w:rFonts w:eastAsia="方正仿宋_GBK"/>
          <w:color w:val="000000"/>
          <w:sz w:val="28"/>
        </w:rPr>
        <w:t>我单位无其他需要说明的事项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B8E2E"/>
    <w:multiLevelType w:val="singleLevel"/>
    <w:tmpl w:val="CC5B8E2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zYjVlZjAwYjJiYTZlZTY5ZDdhMTU5M2QwNmExN2QifQ=="/>
  </w:docVars>
  <w:rsids>
    <w:rsidRoot w:val="027B7881"/>
    <w:rsid w:val="027B7881"/>
    <w:rsid w:val="125A4EE7"/>
    <w:rsid w:val="29963D57"/>
    <w:rsid w:val="34410A44"/>
    <w:rsid w:val="4D350454"/>
    <w:rsid w:val="5CF11FF7"/>
    <w:rsid w:val="5F1240A2"/>
    <w:rsid w:val="5F6E0C2C"/>
    <w:rsid w:val="7E334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jc w:val="left"/>
    </w:pPr>
    <w:rPr>
      <w:rFonts w:ascii="仿宋_GB2312" w:hAnsi="宋体" w:eastAsia="仿宋_GB2312"/>
    </w:rPr>
  </w:style>
  <w:style w:type="paragraph" w:customStyle="1" w:styleId="5">
    <w:name w:val="单元格样式20"/>
    <w:basedOn w:val="1"/>
    <w:qFormat/>
    <w:uiPriority w:val="0"/>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3"/>
    <w:basedOn w:val="1"/>
    <w:qFormat/>
    <w:uiPriority w:val="0"/>
    <w:pPr>
      <w:jc w:val="center"/>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单位职责文件"/>
    <w:basedOn w:val="1"/>
    <w:qFormat/>
    <w:uiPriority w:val="0"/>
    <w:pPr>
      <w:spacing w:line="500" w:lineRule="exact"/>
      <w:ind w:firstLine="560"/>
    </w:pPr>
    <w:rPr>
      <w:rFonts w:eastAsia="方正仿宋_GBK"/>
      <w:sz w:val="28"/>
    </w:rPr>
  </w:style>
  <w:style w:type="paragraph" w:customStyle="1" w:styleId="1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eeeee</Company>
  <Pages>24</Pages>
  <Words>7007</Words>
  <Characters>8346</Characters>
  <Lines>0</Lines>
  <Paragraphs>0</Paragraphs>
  <TotalTime>1</TotalTime>
  <ScaleCrop>false</ScaleCrop>
  <LinksUpToDate>false</LinksUpToDate>
  <CharactersWithSpaces>8545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2023-03-24T01:15:00Z</dcterms:created>
  <dc:creator>zts</dc:creator>
  <cp:lastModifiedBy>zts</cp:lastModifiedBy>
  <dcterms:modified xsi:type="dcterms:W3CDTF">2023-11-06T02:39:18Z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32316CB8C8B1474F894A762434B467FF</vt:lpwstr>
  </property>
</Properties>
</file>