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240" w:beforeAutospacing="0" w:after="240" w:afterAutospacing="0" w:line="29" w:lineRule="atLeast"/>
        <w:ind w:left="0" w:right="0" w:firstLine="0"/>
        <w:jc w:val="center"/>
        <w:rPr>
          <w:rFonts w:hint="eastAsia"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冀科综〔2022〕10号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24"/>
          <w:szCs w:val="24"/>
        </w:rPr>
      </w:pPr>
      <w:r>
        <w:rPr>
          <w:rStyle w:val="89"/>
          <w:rFonts w:ascii="雅黑" w:eastAsia="雅黑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9"/>
          <w:szCs w:val="39"/>
        </w:rPr>
        <w:t>关于印发《推动企业加大研发投入若干措施》的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24"/>
          <w:szCs w:val="24"/>
        </w:rPr>
      </w:pPr>
      <w:r>
        <w:rPr>
          <w:rStyle w:val="89"/>
          <w:rFonts w:ascii="雅黑" w:eastAsia="雅黑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9"/>
          <w:szCs w:val="39"/>
        </w:rPr>
        <w:t>通　知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各市（含定州、辛集市）科技局，国家税务总局各市（含定州、辛集市）、雄安新区税务局，各市（含定州、辛集市）发展改革委（局）、工业和信息化局、商务局、财政局、统计局，雄安新区管委会改革发展局，省国资委监管企业：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　　为贯彻省委十届二次全会精神，落实省委、省政府领导指示要求，进一步推动企业加大研发投入，省科技厅、省国资委、省税务局、省发展改革委、省工信厅、省商务厅、省财政厅、省统计局等八部门联合制定《推动企业加大研发投入若干措施》，现印发你们，请认真贯彻执行。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　　</w:t>
      </w:r>
      <w:r>
        <w:rPr>
          <w:rStyle w:val="87"/>
          <w:rFonts w:ascii="宋体" w:eastAsia="宋体" w:hint="eastAsia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sz w:val="32"/>
          <w:szCs w:val="32"/>
          <w:u w:val="none"/>
        </w:rPr>
        <w:fldChar w:fldCharType="begin"/>
      </w:r>
      <w:r>
        <w:instrText>HYPERLINK "https://kjt.hebei.gov.cn/www/xwzx15/tzgg35/sttz15/266427/2022080214584265611.docx"</w:instrText>
      </w:r>
      <w:r>
        <w:rPr>
          <w:rStyle w:val="87"/>
          <w:rFonts w:ascii="宋体" w:eastAsia="宋体" w:hint="eastAsia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sz w:val="32"/>
          <w:szCs w:val="32"/>
          <w:u w:val="none"/>
        </w:rPr>
        <w:fldChar w:fldCharType="separate"/>
      </w:r>
      <w:r>
        <w:rPr>
          <w:rStyle w:val="87"/>
          <w:rFonts w:ascii="宋体" w:eastAsia="宋体" w:hint="eastAsia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sz w:val="32"/>
          <w:szCs w:val="32"/>
          <w:u w:val="none"/>
        </w:rPr>
        <w:t>附件：推动企业加大研发投入若干措施.docx</w:t>
      </w:r>
      <w:r>
        <w:rPr>
          <w:rStyle w:val="87"/>
          <w:rFonts w:ascii="宋体" w:eastAsia="宋体" w:hint="eastAsia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sz w:val="32"/>
          <w:szCs w:val="32"/>
          <w:u w:val="none"/>
        </w:rPr>
        <w:fldChar w:fldCharType="end"/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　河北省科学技术厅河北省人民政府国有资产监督管理委员会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　国家税务总局河北省税务局  河北省发展和改革委员会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　河北省工业和信息化厅        河北省商务厅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　河北省财政厅                 河北省统计局</w:t>
      </w:r>
    </w:p>
    <w:p>
      <w:pPr>
        <w:pStyle w:val="9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640"/>
        <w:jc w:val="right"/>
        <w:rPr>
          <w:rFonts w:ascii="宋体" w:eastAsia="宋体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ascii="宋体" w:eastAsia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2022年7月28日</w:t>
      </w:r>
    </w:p>
    <w:p>
      <w:pPr>
        <w:pStyle w:val="15"/>
        <w:spacing w:after="160"/>
        <w:ind w:firstLine="640"/>
      </w:pPr>
    </w:p>
    <w:p>
      <w:pPr>
        <w:pStyle w:val="15"/>
        <w:spacing w:after="160"/>
        <w:ind w:firstLine="640"/>
      </w:pPr>
    </w:p>
    <w:p>
      <w:pPr>
        <w:pStyle w:val="15"/>
        <w:spacing w:after="160"/>
        <w:ind w:firstLine="640"/>
        <w:rPr>
          <w:rFonts w:hint="eastAsia"/>
        </w:rPr>
      </w:pPr>
    </w:p>
    <w:p>
      <w:pPr>
        <w:spacing w:line="580" w:lineRule="exact"/>
        <w:jc w:val="center"/>
        <w:rPr>
          <w:rFonts w:eastAsia="仿宋_GB2312"/>
          <w:sz w:val="32"/>
          <w:szCs w:val="32"/>
        </w:rPr>
      </w:pPr>
      <w:r>
        <w:rPr>
          <w:b/>
          <w:bCs/>
          <w:sz w:val="44"/>
          <w:szCs w:val="44"/>
        </w:rPr>
        <w:t>推动企业加大研发投入若干措施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为深入</w:t>
      </w:r>
      <w:r>
        <w:rPr>
          <w:rFonts w:eastAsia="仿宋_GB2312" w:hint="eastAsia"/>
          <w:sz w:val="32"/>
          <w:szCs w:val="32"/>
        </w:rPr>
        <w:t>实施</w:t>
      </w:r>
      <w:r>
        <w:rPr>
          <w:rFonts w:eastAsia="仿宋_GB2312"/>
          <w:sz w:val="32"/>
          <w:szCs w:val="32"/>
        </w:rPr>
        <w:t>创新驱动发展战略，</w:t>
      </w:r>
      <w:r>
        <w:rPr>
          <w:rFonts w:eastAsia="仿宋_GB2312" w:hint="eastAsia"/>
          <w:sz w:val="32"/>
          <w:szCs w:val="32"/>
        </w:rPr>
        <w:t>贯彻落实省委十届二次全会精神，</w:t>
      </w:r>
      <w:r>
        <w:rPr>
          <w:rFonts w:eastAsia="仿宋_GB2312"/>
          <w:sz w:val="32"/>
          <w:szCs w:val="32"/>
        </w:rPr>
        <w:t>进一步激发我省企业创新活力，切实提高企业研发投入水平，发挥企业对研发经费增长的引领作用，加快建设科技强省，结合我省实际，制定如下措施。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20"/>
        </w:rPr>
      </w:pPr>
      <w:r>
        <w:rPr>
          <w:rFonts w:eastAsia="黑体"/>
          <w:sz w:val="32"/>
          <w:szCs w:val="20"/>
        </w:rPr>
        <w:t>一、加大科技型企业培育力度，壮大研发投入主体规模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20"/>
        </w:rPr>
      </w:pPr>
      <w:r>
        <w:rPr>
          <w:rFonts w:eastAsia="楷体_GB2312"/>
          <w:sz w:val="32"/>
          <w:szCs w:val="20"/>
        </w:rPr>
        <w:t>1.做大科技型中小企业。</w:t>
      </w:r>
      <w:r>
        <w:rPr>
          <w:rFonts w:eastAsia="仿宋_GB2312"/>
          <w:sz w:val="32"/>
          <w:szCs w:val="20"/>
        </w:rPr>
        <w:t>增强全省科技企业孵化器、中小企业公共服务示范平台综合服务能力，高水平举办创新创业大赛，以科技计划为引领推动中小企业与行业头部企业协同创新、产业链上下游协作配套，引导和支持中小企业持续加大研发投入，加快培育一批技术含量高、市场前景好的科技型中小企业。每年新增国家级科技型中小企业800家以上。</w:t>
      </w:r>
      <w:r>
        <w:rPr>
          <w:rFonts w:eastAsia="楷体_GB2312"/>
          <w:sz w:val="32"/>
          <w:szCs w:val="20"/>
        </w:rPr>
        <w:t>（责任单位：省科技厅、省工业和信息化厅）</w:t>
      </w:r>
    </w:p>
    <w:p>
      <w:pPr>
        <w:spacing w:line="580" w:lineRule="exact"/>
        <w:ind w:firstLineChars="200" w:firstLine="640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2.做强高新技术企业。</w:t>
      </w:r>
      <w:r>
        <w:rPr>
          <w:rFonts w:eastAsia="仿宋_GB2312"/>
          <w:sz w:val="32"/>
          <w:szCs w:val="20"/>
        </w:rPr>
        <w:t>深入实施高新技术企业后备培育工程，推动入库企业建立研发制度、增加研发投入、设立研发机构、获取知识产权，达到“研发投入占销售收入比例3%以上”的国家高新技术企业标准。省级科技计划项目、研发平台建设布局、科技人才专项等优先支持高新技术企业。2023年，全省高新技术企业达到1.3万家，2025年达到1.5万家。</w:t>
      </w:r>
      <w:r>
        <w:rPr>
          <w:rFonts w:eastAsia="楷体_GB2312"/>
          <w:sz w:val="32"/>
          <w:szCs w:val="20"/>
        </w:rPr>
        <w:t>（责任单位：省科技厅、省税务局）</w:t>
      </w:r>
    </w:p>
    <w:p>
      <w:pPr>
        <w:spacing w:line="580" w:lineRule="exact"/>
        <w:ind w:firstLineChars="200" w:firstLine="640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3.培育“专精特新”企业。</w:t>
      </w:r>
      <w:r>
        <w:rPr>
          <w:rFonts w:eastAsia="仿宋_GB2312"/>
          <w:sz w:val="32"/>
          <w:szCs w:val="22"/>
        </w:rPr>
        <w:t>坚持企业自愿、政策引领、培育促进、公开透明的原则，健全</w:t>
      </w:r>
      <w:r>
        <w:rPr>
          <w:rFonts w:eastAsia="仿宋_GB2312"/>
          <w:sz w:val="32"/>
          <w:szCs w:val="20"/>
        </w:rPr>
        <w:t>优质中小企业梯度培育体系，着力培育一批创新能力强、质量效益好的专精特新中小企业，推动中小企业创新能力和专业化水平提升，引领带动更多中小企业走“专精特新”发展之路，每年新增培育“专精特新”中小企业500家以上。</w:t>
      </w:r>
      <w:r>
        <w:rPr>
          <w:rFonts w:eastAsia="楷体_GB2312"/>
          <w:sz w:val="32"/>
          <w:szCs w:val="20"/>
        </w:rPr>
        <w:t>（责任单位：省工业和信息化厅）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20"/>
        </w:rPr>
      </w:pPr>
      <w:r>
        <w:rPr>
          <w:rFonts w:eastAsia="楷体_GB2312"/>
          <w:sz w:val="32"/>
          <w:szCs w:val="20"/>
        </w:rPr>
        <w:t>4.打造科技领军企业。</w:t>
      </w:r>
      <w:r>
        <w:rPr>
          <w:rFonts w:eastAsia="仿宋_GB2312"/>
          <w:sz w:val="32"/>
          <w:szCs w:val="20"/>
        </w:rPr>
        <w:t>面向数字经济、新能源、生命健康等重点战略新兴产业领域，滚动筛选研发投入高、市场影响力大的企业，逐企建档立卡，找准短板弱项，加强创新要素供给和高效创新服务，打造一批创新能力强、行业带动作用强的科技领军企业。支持科技领军企业开展跨行业、跨领域的关键核心技术研发，对其承担的省级重大科技计划项目，给予不超过1000万元的资金支持。2022</w:t>
      </w:r>
      <w:r>
        <w:rPr>
          <w:rFonts w:eastAsia="仿宋_GB2312" w:hint="eastAsia"/>
          <w:sz w:val="32"/>
          <w:szCs w:val="20"/>
        </w:rPr>
        <w:t>--</w:t>
      </w:r>
      <w:r>
        <w:rPr>
          <w:rFonts w:eastAsia="仿宋_GB2312"/>
          <w:sz w:val="32"/>
          <w:szCs w:val="20"/>
        </w:rPr>
        <w:t>2025年，每年新增科技领军企业10家以上，2025年达到100家。</w:t>
      </w:r>
      <w:r>
        <w:rPr>
          <w:rFonts w:eastAsia="楷体_GB2312"/>
          <w:sz w:val="32"/>
          <w:szCs w:val="20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二、推进国有企业“三年上、五年强”专项行动，发挥研发投入龙头带动作用</w:t>
      </w:r>
    </w:p>
    <w:p>
      <w:pPr>
        <w:snapToGrid w:val="0"/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楷体_GB2312"/>
          <w:sz w:val="32"/>
          <w:szCs w:val="32"/>
        </w:rPr>
        <w:t>5.建立研发投入刚性增长机制。</w:t>
      </w:r>
      <w:r>
        <w:rPr>
          <w:rFonts w:eastAsia="仿宋_GB2312"/>
          <w:sz w:val="32"/>
          <w:szCs w:val="32"/>
        </w:rPr>
        <w:t>国有企业每年安排研发资金时，力争研发投入占主营业务收入的比重高于全国同行业先进水平，并逐年持续稳定增长。“十四五”期间，省国资委监管企业研发投入年均增幅不低于20%、工业企业不低于25%，有力推动国有企业“十四五”前三年实现“上台阶”，到“十四五”末实现“强实力”。</w:t>
      </w:r>
      <w:r>
        <w:rPr>
          <w:rFonts w:eastAsia="楷体_GB2312"/>
          <w:sz w:val="32"/>
          <w:szCs w:val="32"/>
        </w:rPr>
        <w:t>（责任单位：省国资委、省科技厅）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6.建立创新项目建设机制。</w:t>
      </w:r>
      <w:r>
        <w:rPr>
          <w:rFonts w:eastAsia="仿宋_GB2312"/>
          <w:sz w:val="32"/>
          <w:szCs w:val="32"/>
        </w:rPr>
        <w:t>推动国有企业打造一批高附加值、高技术含量、高市场占有率的名优特产品，逐步构建具有河北国企特色的科技创新体系。“十四五”期间，省国资委监管企业每年投向战略性新兴产业、迈向高端技改以及现代服务业的资金比例不低于30%，工业企业不低于40%。</w:t>
      </w:r>
      <w:r>
        <w:rPr>
          <w:rFonts w:eastAsia="楷体_GB2312"/>
          <w:sz w:val="32"/>
          <w:szCs w:val="32"/>
        </w:rPr>
        <w:t>（责任单位：省国资委、省科技厅）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7.建立研发创新考核激励机制。</w:t>
      </w:r>
      <w:r>
        <w:rPr>
          <w:rFonts w:eastAsia="仿宋_GB2312"/>
          <w:sz w:val="32"/>
          <w:szCs w:val="32"/>
        </w:rPr>
        <w:t>实施分类考核，加强研发创新考核权重，将研发投入强度考核结果与企业领导人员任免奖惩、薪酬分配直接挂钩。对实施重大创新项目的企业在工资总额上予以支持。鼓励企业对获得国际性、国家级、省级重大科技奖项的团队（个人）给予奖励。</w:t>
      </w:r>
      <w:r>
        <w:rPr>
          <w:rFonts w:eastAsia="楷体_GB2312"/>
          <w:sz w:val="32"/>
          <w:szCs w:val="32"/>
        </w:rPr>
        <w:t>（责任单位：省国资委、省科技厅）</w:t>
      </w:r>
    </w:p>
    <w:p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三、发挥财政资金引导作用、带动企业加大研发投入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8.创新科技资金支持方式。</w:t>
      </w:r>
      <w:r>
        <w:rPr>
          <w:rFonts w:eastAsia="仿宋_GB2312"/>
          <w:sz w:val="32"/>
          <w:szCs w:val="32"/>
        </w:rPr>
        <w:t>采用“揭榜挂帅”“赛马争先”等新型科技计划项目组织方式，推动企业加大研发投入，面向社会公开征集技术解决方案和重大创新成果，集聚各方面社会创新力量，开展技术攻关和科技成果转化。揭榜成功后，技术攻关类项目各级财政科技资金</w:t>
      </w:r>
      <w:r>
        <w:rPr>
          <w:rFonts w:eastAsia="仿宋_GB2312"/>
          <w:kern w:val="0"/>
          <w:sz w:val="32"/>
          <w:szCs w:val="32"/>
        </w:rPr>
        <w:t>最高联合补助1000万元，成果转化类项目最高补助500万元。</w:t>
      </w:r>
      <w:r>
        <w:rPr>
          <w:rFonts w:eastAsia="楷体_GB2312"/>
          <w:sz w:val="32"/>
          <w:szCs w:val="32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9.建立研发导向的项目平台支持机制。</w:t>
      </w:r>
      <w:r>
        <w:rPr>
          <w:rFonts w:eastAsia="仿宋_GB2312"/>
          <w:sz w:val="32"/>
          <w:szCs w:val="32"/>
        </w:rPr>
        <w:t>对于研发投入强度大的企业，优先支持申报国家、省级科技计划项目。省自然科学基金与企业联合设立研发基金，鼓励引导科技企业加大基础研究和应用基础研究投入。对晋级国家重点实验室、技术创新中心等科技创新平台给予资金支持，用于自主科研开发、合作研发、成果转化等。</w:t>
      </w:r>
      <w:r>
        <w:rPr>
          <w:rFonts w:eastAsia="楷体_GB2312"/>
          <w:sz w:val="32"/>
          <w:szCs w:val="32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黑体"/>
          <w:color w:val="000000"/>
          <w:sz w:val="32"/>
          <w:szCs w:val="32"/>
          <w:shd w:val="clear" w:color="auto" w:fill="FFFFFF"/>
        </w:rPr>
      </w:pPr>
      <w:r>
        <w:rPr>
          <w:rFonts w:eastAsia="黑体"/>
          <w:color w:val="000000"/>
          <w:sz w:val="32"/>
          <w:szCs w:val="32"/>
          <w:shd w:val="clear" w:color="auto" w:fill="FFFFFF"/>
        </w:rPr>
        <w:t>四、推动加计扣除政策应享尽享，增强企业研发投入内生动力</w:t>
      </w:r>
    </w:p>
    <w:p>
      <w:pPr>
        <w:spacing w:line="580" w:lineRule="exact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 xml:space="preserve">   </w:t>
      </w:r>
      <w:r>
        <w:rPr>
          <w:rFonts w:eastAsia="楷体_GB2312"/>
          <w:sz w:val="32"/>
          <w:szCs w:val="32"/>
        </w:rPr>
        <w:t xml:space="preserve"> 10.建立应享未享台账。</w:t>
      </w:r>
      <w:r>
        <w:rPr>
          <w:rFonts w:eastAsia="仿宋_GB2312"/>
          <w:sz w:val="32"/>
          <w:szCs w:val="32"/>
        </w:rPr>
        <w:t>2022年10月底前，以科技型中小企业、高新技术企业、科技领军企业等为重点，建立涵盖“十三五”以来企业逐年研发项目、研发费用和加计扣除额度等情况的企业数据库，摸清加计扣除政策落实底数，建立规上、中小、小微3类企业应享未享台</w:t>
      </w:r>
      <w:r>
        <w:rPr>
          <w:rFonts w:eastAsia="仿宋_GB2312" w:hint="eastAsia"/>
          <w:sz w:val="32"/>
          <w:szCs w:val="32"/>
        </w:rPr>
        <w:t>账</w:t>
      </w:r>
      <w:r>
        <w:rPr>
          <w:rFonts w:eastAsia="仿宋_GB2312"/>
          <w:sz w:val="32"/>
          <w:szCs w:val="32"/>
        </w:rPr>
        <w:t>，为高效、精准开展加计扣除科技服务提供基础支撑。</w:t>
      </w:r>
      <w:r>
        <w:rPr>
          <w:rFonts w:eastAsia="楷体_GB2312"/>
          <w:sz w:val="32"/>
          <w:szCs w:val="32"/>
        </w:rPr>
        <w:t>（责任单位：省科技厅、省税务局）</w:t>
      </w:r>
    </w:p>
    <w:p>
      <w:pPr>
        <w:spacing w:line="58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_GB2312"/>
          <w:sz w:val="32"/>
          <w:szCs w:val="32"/>
        </w:rPr>
        <w:t>11.开展政策宣讲全覆盖。</w:t>
      </w:r>
      <w:r>
        <w:rPr>
          <w:rFonts w:eastAsia="仿宋_GB2312"/>
          <w:sz w:val="32"/>
          <w:szCs w:val="32"/>
        </w:rPr>
        <w:t>依托省高新技术企业协会、科技型中小企业协会和科技特派员队伍，组建加计扣除政策宣讲团。汇集国家、省相关政策编制《企业研发费用加计扣除政策一本通》。采用线上线下相结合的方式进行政策大宣讲，2022年底，实现高新技术企业、国家级科技型中小企业、有需求的中小企业政策培训全覆盖。</w:t>
      </w:r>
      <w:r>
        <w:rPr>
          <w:rFonts w:eastAsia="楷体_GB2312"/>
          <w:sz w:val="32"/>
          <w:szCs w:val="32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_GB2312"/>
          <w:sz w:val="32"/>
          <w:szCs w:val="32"/>
        </w:rPr>
        <w:t>12.构建全方位科技服务体系。</w:t>
      </w:r>
      <w:r>
        <w:rPr>
          <w:rFonts w:eastAsia="仿宋_GB2312"/>
          <w:sz w:val="32"/>
          <w:szCs w:val="32"/>
        </w:rPr>
        <w:t>开发“智慧河北加计扣除”系统，服务企业以智能化手段编制辅助账和申报表，实现研发费用“一键归集”。省市协同培育一批加计扣除专业化服务机构，</w:t>
      </w:r>
      <w:r>
        <w:rPr>
          <w:rFonts w:eastAsia="仿宋_GB2312"/>
          <w:color w:val="000000"/>
          <w:sz w:val="32"/>
          <w:szCs w:val="32"/>
        </w:rPr>
        <w:t>深入企业开展“一对一”服务。</w:t>
      </w:r>
      <w:r>
        <w:rPr>
          <w:rFonts w:eastAsia="仿宋_GB2312"/>
          <w:sz w:val="32"/>
          <w:szCs w:val="32"/>
        </w:rPr>
        <w:t>2022年底专业化服务机构达到近百家</w:t>
      </w:r>
      <w:r>
        <w:rPr>
          <w:rFonts w:eastAsia="仿宋_GB2312"/>
          <w:color w:val="000000"/>
          <w:sz w:val="32"/>
          <w:szCs w:val="32"/>
        </w:rPr>
        <w:t>。组织开展</w:t>
      </w:r>
      <w:r>
        <w:rPr>
          <w:rFonts w:eastAsia="仿宋_GB2312"/>
          <w:sz w:val="32"/>
          <w:szCs w:val="32"/>
        </w:rPr>
        <w:t>企业自愿申请的项目鉴定，变事中事后服务为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事前服务。</w:t>
      </w:r>
      <w:r>
        <w:rPr>
          <w:rFonts w:eastAsia="楷体_GB2312"/>
          <w:sz w:val="32"/>
          <w:szCs w:val="32"/>
        </w:rPr>
        <w:t>（责任单位：省科技厅、省税务局）</w:t>
      </w:r>
    </w:p>
    <w:p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楷体_GB2312"/>
          <w:sz w:val="32"/>
          <w:szCs w:val="32"/>
        </w:rPr>
        <w:t>13.落实“多投多补”激励机制。</w:t>
      </w:r>
      <w:r>
        <w:rPr>
          <w:rFonts w:eastAsia="仿宋_GB2312"/>
          <w:sz w:val="32"/>
          <w:szCs w:val="32"/>
        </w:rPr>
        <w:t>制定科技企业研发费用后补助工作实施细则，“十四五”期间，对享受研发费用加计扣除优惠政策的科技型企业，按照企业上一年度享受优惠的实际研发投入新增部分的10%予以补助，单个企业年度最高补助1000万元。</w:t>
      </w:r>
      <w:r>
        <w:rPr>
          <w:rFonts w:eastAsia="楷体_GB2312"/>
          <w:sz w:val="32"/>
          <w:szCs w:val="32"/>
        </w:rPr>
        <w:t>（责任单位：省科技厅、省财政厅、省税务局）</w:t>
      </w:r>
    </w:p>
    <w:p>
      <w:pPr>
        <w:spacing w:line="580" w:lineRule="exact"/>
        <w:ind w:firstLineChars="200" w:firstLine="640"/>
        <w:rPr>
          <w:rFonts w:eastAsia="黑体"/>
          <w:bCs/>
          <w:color w:val="000000"/>
          <w:sz w:val="32"/>
          <w:lang w:val="zh-CN"/>
        </w:rPr>
      </w:pPr>
      <w:r>
        <w:rPr>
          <w:rFonts w:eastAsia="黑体"/>
          <w:sz w:val="32"/>
          <w:szCs w:val="32"/>
        </w:rPr>
        <w:t>五、</w:t>
      </w:r>
      <w:r>
        <w:rPr>
          <w:rFonts w:eastAsia="黑体"/>
          <w:bCs/>
          <w:color w:val="000000"/>
          <w:sz w:val="32"/>
          <w:lang w:val="zh-CN"/>
        </w:rPr>
        <w:t>强化高效科技服务，精准助推企业提高研发投入</w:t>
      </w:r>
    </w:p>
    <w:p>
      <w:pPr>
        <w:spacing w:line="58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楷体_GB2312"/>
          <w:sz w:val="32"/>
          <w:szCs w:val="32"/>
        </w:rPr>
        <w:t>14.建立优先服务机制。</w:t>
      </w:r>
      <w:r>
        <w:rPr>
          <w:rFonts w:eastAsia="仿宋_GB2312"/>
          <w:bCs/>
          <w:sz w:val="32"/>
          <w:szCs w:val="32"/>
        </w:rPr>
        <w:t>将研发投入增长快的企业列为重点服务对象，依托科技特派员队伍优先组建“企业创新诊所”，针对科技型中小企业发展开展“把脉问诊”辅导服务，提升科技型中小企业研发和孵化成功率。推动全省科技服务机构、科研院所、高校科技人员深入企业一线开展科技咨询、合作研发、成果转化、资源对接等针对性、特色化服务。</w:t>
      </w:r>
      <w:r>
        <w:rPr>
          <w:rFonts w:eastAsia="楷体_GB2312"/>
          <w:sz w:val="32"/>
          <w:szCs w:val="20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楷体_GB2312"/>
          <w:sz w:val="32"/>
          <w:szCs w:val="32"/>
        </w:rPr>
        <w:t>15.强化差异化精准服务。</w:t>
      </w:r>
      <w:r>
        <w:rPr>
          <w:rFonts w:eastAsia="仿宋_GB2312"/>
          <w:bCs/>
          <w:sz w:val="32"/>
          <w:szCs w:val="32"/>
        </w:rPr>
        <w:t>组织科技政策宣讲专家采取专题辅导、入企服务等形式，对研发投入强度大的企业，实行“一对一”服务</w:t>
      </w:r>
      <w:r>
        <w:rPr>
          <w:rFonts w:eastAsia="仿宋_GB2312" w:hint="eastAsia"/>
          <w:bCs/>
          <w:sz w:val="32"/>
          <w:szCs w:val="32"/>
        </w:rPr>
        <w:t>；</w:t>
      </w:r>
      <w:r>
        <w:rPr>
          <w:rFonts w:eastAsia="仿宋_GB2312"/>
          <w:bCs/>
          <w:sz w:val="32"/>
          <w:szCs w:val="32"/>
        </w:rPr>
        <w:t>对无研发经费投入或强度较低的规模以上企业，开展点对点指导</w:t>
      </w:r>
      <w:r>
        <w:rPr>
          <w:rFonts w:eastAsia="仿宋_GB2312" w:hint="eastAsia"/>
          <w:bCs/>
          <w:sz w:val="32"/>
          <w:szCs w:val="32"/>
        </w:rPr>
        <w:t>；</w:t>
      </w:r>
      <w:r>
        <w:rPr>
          <w:rFonts w:eastAsia="仿宋_GB2312"/>
          <w:bCs/>
          <w:sz w:val="32"/>
          <w:szCs w:val="32"/>
        </w:rPr>
        <w:t>对高新技术企业、高新技术企业培育库入库企业等，开展重点服务。</w:t>
      </w:r>
      <w:r>
        <w:rPr>
          <w:rFonts w:eastAsia="楷体_GB2312"/>
          <w:sz w:val="32"/>
          <w:szCs w:val="20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楷体_GB2312"/>
          <w:sz w:val="32"/>
          <w:szCs w:val="32"/>
        </w:rPr>
        <w:t>16.推动研发辅助账“应建尽建”。</w:t>
      </w:r>
      <w:r>
        <w:rPr>
          <w:rFonts w:eastAsia="仿宋_GB2312"/>
          <w:bCs/>
          <w:sz w:val="32"/>
          <w:szCs w:val="32"/>
        </w:rPr>
        <w:t>组织财务专家深入企业指导完善会计制度、规范研发支出、归集研发费用、建立研发费用辅助账，将获得的各级财政科技扶持资金纳入研发投入统计，做到项目研发投入单独列账、单独核算，账表“应建尽建”、数据“应统尽统”、费用“应扣尽扣”。</w:t>
      </w:r>
      <w:r>
        <w:rPr>
          <w:rFonts w:eastAsia="楷体_GB2312"/>
          <w:sz w:val="32"/>
          <w:szCs w:val="20"/>
        </w:rPr>
        <w:t>（责任单位：省科技厅）</w:t>
      </w:r>
    </w:p>
    <w:p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六、创新工作机制，突出考核激励</w:t>
      </w:r>
    </w:p>
    <w:p>
      <w:pPr>
        <w:spacing w:line="580" w:lineRule="exact"/>
        <w:ind w:firstLineChars="200" w:firstLine="640"/>
        <w:rPr>
          <w:rFonts w:eastAsia="楷体_GB2312"/>
          <w:sz w:val="32"/>
          <w:szCs w:val="32"/>
          <w:highlight w:val="yellow"/>
        </w:rPr>
      </w:pPr>
      <w:r>
        <w:rPr>
          <w:rFonts w:eastAsia="楷体_GB2312"/>
          <w:bCs/>
          <w:sz w:val="32"/>
          <w:szCs w:val="32"/>
        </w:rPr>
        <w:t>17.部门协同、省市县联动。</w:t>
      </w:r>
      <w:r>
        <w:rPr>
          <w:rFonts w:eastAsia="仿宋_GB2312"/>
          <w:bCs/>
          <w:sz w:val="32"/>
          <w:szCs w:val="32"/>
        </w:rPr>
        <w:t>充分发挥省科技创新工作领导小组办公室作用，加强统筹协调，定期召开工作推进会，协调企业研发投入重要事项，努力形成上下贯通、协调联动的科技创新工作新局面。省有关部门压实主体责任，加强对本系统加大企业研发投入有关工作的督促指导，及时跟踪问效。各市县切实履行属地责任，结合实际制定企业研发投入具体工作方案，确保工作落实。</w:t>
      </w:r>
      <w:r>
        <w:rPr>
          <w:rFonts w:eastAsia="楷体_GB2312"/>
          <w:sz w:val="32"/>
          <w:szCs w:val="32"/>
        </w:rPr>
        <w:t>（责任单位：省科技厅、省发展改革委、省工信厅、省财政厅、省税务局、省国资委、省统计局）</w:t>
      </w:r>
    </w:p>
    <w:p>
      <w:pPr>
        <w:spacing w:line="58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bCs/>
          <w:sz w:val="32"/>
          <w:szCs w:val="32"/>
        </w:rPr>
        <w:t>18.强化考核激励导向。</w:t>
      </w:r>
      <w:r>
        <w:rPr>
          <w:rFonts w:eastAsia="仿宋_GB2312"/>
          <w:bCs/>
          <w:sz w:val="32"/>
          <w:szCs w:val="32"/>
        </w:rPr>
        <w:t>将研发投入纳入市级党政领导班子年度考核体系，“十四五”期间，对研发投入强度高于上年的设区市，每增加0.01个百分点，奖励100万元，对研发投入强度超过全国平均水平的设区市给予一次性5000万元奖励。将研发投</w:t>
      </w:r>
      <w:r>
        <w:rPr>
          <w:rFonts w:eastAsia="仿宋_GB2312"/>
          <w:sz w:val="32"/>
          <w:szCs w:val="32"/>
        </w:rPr>
        <w:t>入作为经济开发区、高新区评价重要指标。持续开展县域科技创新能力年度监测评价，鼓励各县（市、区）大力增加财政科技支出。</w:t>
      </w:r>
      <w:r>
        <w:rPr>
          <w:rFonts w:eastAsia="楷体_GB2312"/>
          <w:sz w:val="32"/>
          <w:szCs w:val="32"/>
        </w:rPr>
        <w:t>（责任单位：省科技厅、省商务厅）</w:t>
      </w:r>
    </w:p>
    <w:p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19.定期发布统计公报。</w:t>
      </w:r>
      <w:r>
        <w:rPr>
          <w:rFonts w:eastAsia="仿宋_GB2312"/>
          <w:sz w:val="32"/>
          <w:szCs w:val="32"/>
        </w:rPr>
        <w:t>规范开展研发投入统计调查工作，定期发布年度全省科技投入统计公报。针对全省研发费用加计扣除政策落实情况开展统计分析，每年6月、12月分两期编制统计分析报告，供各级各部门决策参考。</w:t>
      </w:r>
      <w:r>
        <w:rPr>
          <w:rFonts w:eastAsia="楷体_GB2312"/>
          <w:sz w:val="32"/>
          <w:szCs w:val="32"/>
        </w:rPr>
        <w:t>（责任单位：省科技厅、省统计局、省税务局）</w:t>
      </w:r>
    </w:p>
    <w:p>
      <w:pPr>
        <w:autoSpaceDN w:val="0"/>
        <w:adjustRightInd w:val="0"/>
        <w:spacing w:line="580" w:lineRule="exact"/>
        <w:ind w:firstLineChars="200" w:firstLine="616"/>
        <w:jc w:val="left"/>
        <w:rPr>
          <w:rFonts w:eastAsia="仿宋_GB2312" w:hint="eastAsia"/>
          <w:spacing w:val="-6"/>
          <w:sz w:val="32"/>
          <w:szCs w:val="20"/>
        </w:rPr>
      </w:pPr>
    </w:p>
    <w:p/>
    <w:sectPr>
      <w:pgSz w:w="11906" w:h="16838"/>
      <w:pgMar w:top="1440" w:right="1588" w:bottom="1440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雅黑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auto"/>
    <w:pitch w:val="variable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variable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customStyle="1" w:styleId="15">
    <w:name w:val="_Style 3"/>
    <w:basedOn w:val="0"/>
    <w:pPr>
      <w:widowControl/>
      <w:spacing w:after="160" w:line="240" w:lineRule="exact"/>
      <w:jc w:val="left"/>
    </w:pPr>
  </w:style>
  <w:style w:type="paragraph" w:styleId="16">
    <w:name w:val="Plain Text"/>
    <w:basedOn w:val="0"/>
    <w:rPr>
      <w:rFonts w:ascii="等线" w:eastAsia="等线" w:cs="Courier New"/>
    </w:rPr>
  </w:style>
  <w:style w:type="character" w:styleId="87">
    <w:name w:val="Hyperlink"/>
    <w:basedOn w:val="0"/>
    <w:rPr>
      <w:color w:val="0000FF"/>
      <w:u w:val="single"/>
    </w:rPr>
  </w:style>
  <w:style w:type="character" w:styleId="89">
    <w:name w:val="Strong"/>
    <w:basedOn w:val="0"/>
    <w:rPr>
      <w:b/>
    </w:rPr>
  </w:style>
  <w:style w:type="paragraph" w:styleId="93">
    <w:name w:val="Normal (Web)"/>
    <w:basedOn w:val="0"/>
    <w:next w:val="15"/>
    <w:pPr>
      <w:keepNext w:val="0"/>
      <w:keepLines w:val="0"/>
      <w:pageBreakBefore w:val="0"/>
      <w:widowControl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contextualSpacing w:val="0"/>
      <w:jc w:val="left"/>
      <w:textAlignment w:val="auto"/>
      <w:outlineLvl w:val="9"/>
    </w:pPr>
    <w:rPr>
      <w:rFonts w:ascii="宋体" w:eastAsia="宋体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em w:val="no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</TotalTime>
  <Application>Yozo_Office27021597764231179</Application>
  <Pages>1</Pages>
  <Words>14</Words>
  <Characters>14</Characters>
  <Lines>1</Lines>
  <Paragraphs>1</Paragraphs>
  <CharactersWithSpaces>14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马春丽</dc:creator>
  <cp:lastModifiedBy>user</cp:lastModifiedBy>
  <cp:revision>1</cp:revision>
  <dcterms:created xsi:type="dcterms:W3CDTF">2022-08-02T06:56:00Z</dcterms:created>
  <dcterms:modified xsi:type="dcterms:W3CDTF">2023-08-22T07:56:54Z</dcterms:modified>
</cp:coreProperties>
</file>