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2"/>
        <w:pBdr>
          <w:top w:val="none" w:sz="0" w:space="0" w:color="auto"/>
          <w:left w:val="none" w:sz="0" w:space="0" w:color="auto"/>
          <w:bottom w:val="none" w:sz="0" w:space="0" w:color="auto"/>
          <w:right w:val="none" w:sz="0" w:space="0" w:color="auto"/>
        </w:pBdr>
        <w:shd w:val="clear" w:color="auto" w:fill="FFFFFF"/>
        <w:spacing w:before="0" w:beforeAutospacing="0" w:after="0" w:afterAutospacing="0" w:line="779" w:lineRule="atLeast"/>
        <w:ind w:left="0" w:right="0" w:firstLine="0"/>
        <w:jc w:val="center"/>
        <w:outlineLvl w:val="1"/>
        <w:rPr>
          <w:rFonts w:ascii="Times New Roman" w:eastAsia="雅黑" w:hAnsi="Times New Roman"/>
          <w:b/>
          <w:bCs/>
          <w:i w:val="0"/>
          <w:iCs w:val="0"/>
          <w:caps w:val="0"/>
          <w:smallCaps w:val="0"/>
          <w:vanish w:val="0"/>
          <w:color w:val="000000"/>
          <w:spacing w:val="0"/>
          <w:sz w:val="41"/>
          <w:szCs w:val="41"/>
        </w:rPr>
      </w:pPr>
      <w:r>
        <w:rPr>
          <w:rFonts w:ascii="雅黑" w:eastAsia="雅黑" w:hint="eastAsia"/>
          <w:b/>
          <w:bCs/>
          <w:i w:val="0"/>
          <w:iCs w:val="0"/>
          <w:caps w:val="0"/>
          <w:smallCaps w:val="0"/>
          <w:vanish w:val="0"/>
          <w:color w:val="000000"/>
          <w:spacing w:val="0"/>
          <w:sz w:val="41"/>
          <w:szCs w:val="41"/>
        </w:rPr>
        <w:t>河北省人民政府办公厅</w:t>
      </w:r>
    </w:p>
    <w:p>
      <w:pPr>
        <w:pStyle w:val="2"/>
        <w:pBdr>
          <w:top w:val="none" w:sz="0" w:space="0" w:color="auto"/>
          <w:left w:val="none" w:sz="0" w:space="0" w:color="auto"/>
          <w:bottom w:val="none" w:sz="0" w:space="0" w:color="auto"/>
          <w:right w:val="none" w:sz="0" w:space="0" w:color="auto"/>
        </w:pBdr>
        <w:shd w:val="clear" w:color="auto" w:fill="FFFFFF"/>
        <w:spacing w:before="0" w:beforeAutospacing="0" w:after="0" w:afterAutospacing="0" w:line="779" w:lineRule="atLeast"/>
        <w:ind w:left="0" w:right="0" w:firstLine="0"/>
        <w:jc w:val="center"/>
        <w:outlineLvl w:val="1"/>
        <w:rPr>
          <w:rFonts w:ascii="雅黑" w:eastAsia="雅黑" w:hint="eastAsia"/>
          <w:b/>
          <w:bCs/>
          <w:i w:val="0"/>
          <w:iCs w:val="0"/>
          <w:caps w:val="0"/>
          <w:smallCaps w:val="0"/>
          <w:vanish w:val="0"/>
          <w:color w:val="000000"/>
          <w:spacing w:val="0"/>
          <w:sz w:val="41"/>
          <w:szCs w:val="41"/>
        </w:rPr>
      </w:pPr>
      <w:r>
        <w:rPr>
          <w:rFonts w:ascii="雅黑" w:eastAsia="雅黑" w:hint="eastAsia"/>
          <w:b/>
          <w:bCs/>
          <w:i w:val="0"/>
          <w:iCs w:val="0"/>
          <w:caps w:val="0"/>
          <w:smallCaps w:val="0"/>
          <w:vanish w:val="0"/>
          <w:color w:val="000000"/>
          <w:spacing w:val="0"/>
          <w:sz w:val="41"/>
          <w:szCs w:val="41"/>
        </w:rPr>
        <w:t>印发</w:t>
      </w:r>
      <w:r>
        <w:rPr>
          <w:rFonts w:ascii="雅黑" w:eastAsia="宋体" w:hAnsi="雅黑"/>
          <w:b/>
          <w:bCs/>
          <w:i w:val="0"/>
          <w:iCs w:val="0"/>
          <w:caps w:val="0"/>
          <w:smallCaps w:val="0"/>
          <w:vanish w:val="0"/>
          <w:color w:val="000000"/>
          <w:spacing w:val="0"/>
          <w:sz w:val="41"/>
          <w:szCs w:val="41"/>
        </w:rPr>
        <w:t>《</w:t>
      </w:r>
      <w:r>
        <w:rPr>
          <w:rFonts w:ascii="雅黑" w:eastAsia="雅黑" w:hint="eastAsia"/>
          <w:b/>
          <w:bCs/>
          <w:i w:val="0"/>
          <w:iCs w:val="0"/>
          <w:caps w:val="0"/>
          <w:smallCaps w:val="0"/>
          <w:vanish w:val="0"/>
          <w:color w:val="000000"/>
          <w:spacing w:val="0"/>
          <w:sz w:val="41"/>
          <w:szCs w:val="41"/>
        </w:rPr>
        <w:t>关于进一步吸引京津科技成果在冀转移转化若干措施</w:t>
      </w:r>
      <w:r>
        <w:rPr>
          <w:rFonts w:ascii="雅黑" w:eastAsia="宋体" w:hAnsi="雅黑"/>
          <w:b/>
          <w:bCs/>
          <w:i w:val="0"/>
          <w:iCs w:val="0"/>
          <w:caps w:val="0"/>
          <w:smallCaps w:val="0"/>
          <w:vanish w:val="0"/>
          <w:color w:val="000000"/>
          <w:spacing w:val="0"/>
          <w:sz w:val="41"/>
          <w:szCs w:val="41"/>
        </w:rPr>
        <w:t>》</w:t>
      </w:r>
      <w:r>
        <w:rPr>
          <w:rFonts w:ascii="雅黑" w:eastAsia="雅黑" w:hint="eastAsia"/>
          <w:b/>
          <w:bCs/>
          <w:i w:val="0"/>
          <w:iCs w:val="0"/>
          <w:caps w:val="0"/>
          <w:smallCaps w:val="0"/>
          <w:vanish w:val="0"/>
          <w:color w:val="000000"/>
          <w:spacing w:val="0"/>
          <w:sz w:val="41"/>
          <w:szCs w:val="41"/>
        </w:rPr>
        <w:t>的通知</w:t>
      </w:r>
    </w:p>
    <w:p>
      <w:pPr>
        <w:pStyle w:val="92"/>
        <w:pBdr>
          <w:top w:val="none" w:sz="0" w:space="0" w:color="auto"/>
          <w:left w:val="none" w:sz="0" w:space="0" w:color="auto"/>
          <w:bottom w:val="none" w:sz="0" w:space="0" w:color="auto"/>
          <w:right w:val="none" w:sz="0" w:space="0" w:color="auto"/>
        </w:pBdr>
        <w:shd w:val="clear" w:color="auto" w:fill="FFFFFF"/>
        <w:spacing w:before="240" w:beforeAutospacing="0" w:after="240" w:afterAutospacing="0" w:line="29" w:lineRule="atLeast"/>
        <w:ind w:left="0" w:right="0" w:firstLine="0"/>
        <w:jc w:val="left"/>
        <w:rPr>
          <w:rFonts w:cs="宋体" w:hint="eastAsia"/>
          <w:color w:val="000000"/>
          <w:sz w:val="32"/>
          <w:szCs w:val="32"/>
        </w:rPr>
      </w:pPr>
    </w:p>
    <w:p>
      <w:pPr>
        <w:pStyle w:val="92"/>
        <w:pBdr>
          <w:top w:val="none" w:sz="0" w:space="0" w:color="auto"/>
          <w:left w:val="none" w:sz="0" w:space="0" w:color="auto"/>
          <w:bottom w:val="none" w:sz="0" w:space="0" w:color="auto"/>
          <w:right w:val="none" w:sz="0" w:space="0" w:color="auto"/>
        </w:pBdr>
        <w:shd w:val="clear" w:color="auto" w:fill="FFFFFF"/>
        <w:spacing w:before="240" w:beforeAutospacing="0" w:after="240" w:afterAutospacing="0" w:line="29" w:lineRule="atLeast"/>
        <w:ind w:left="0" w:right="0" w:firstLine="0"/>
        <w:jc w:val="left"/>
        <w:rPr>
          <w:rFonts w:cs="宋体" w:hint="eastAsia"/>
          <w:color w:val="000000"/>
          <w:sz w:val="32"/>
          <w:szCs w:val="32"/>
        </w:rPr>
      </w:pPr>
      <w:r>
        <w:rPr>
          <w:rFonts w:cs="宋体" w:hint="eastAsia"/>
          <w:color w:val="000000"/>
          <w:sz w:val="32"/>
          <w:szCs w:val="32"/>
        </w:rPr>
        <w:t>各市（含定州、辛集市）人民政府，雄安新区管委会，省政府有关部门：</w:t>
      </w:r>
    </w:p>
    <w:p>
      <w:pPr>
        <w:pStyle w:val="92"/>
        <w:pBdr>
          <w:top w:val="none" w:sz="0" w:space="0" w:color="auto"/>
          <w:left w:val="none" w:sz="0" w:space="0" w:color="auto"/>
          <w:bottom w:val="none" w:sz="0" w:space="0" w:color="auto"/>
          <w:right w:val="none" w:sz="0" w:space="0" w:color="auto"/>
        </w:pBdr>
        <w:shd w:val="clear" w:color="auto" w:fill="FFFFFF"/>
        <w:spacing w:before="240" w:beforeAutospacing="0" w:after="240" w:afterAutospacing="0" w:line="29" w:lineRule="atLeast"/>
        <w:ind w:left="0" w:right="0" w:firstLine="0"/>
        <w:jc w:val="left"/>
        <w:rPr>
          <w:rFonts w:cs="宋体" w:hint="eastAsia"/>
          <w:color w:val="000000"/>
          <w:sz w:val="32"/>
          <w:szCs w:val="32"/>
        </w:rPr>
      </w:pPr>
      <w:r>
        <w:rPr>
          <w:rFonts w:cs="宋体" w:hint="eastAsia"/>
          <w:color w:val="000000"/>
          <w:sz w:val="32"/>
          <w:szCs w:val="32"/>
        </w:rPr>
        <w:t>　　《关于进一步吸引京津科技成果在冀转移转化的若干措施》已经省政府同意，现印发给你们，请认真贯彻执行。　　</w:t>
      </w:r>
    </w:p>
    <w:p>
      <w:pPr>
        <w:pStyle w:val="92"/>
        <w:pBdr>
          <w:top w:val="none" w:sz="0" w:space="0" w:color="auto"/>
          <w:left w:val="none" w:sz="0" w:space="0" w:color="auto"/>
          <w:bottom w:val="none" w:sz="0" w:space="0" w:color="auto"/>
          <w:right w:val="none" w:sz="0" w:space="0" w:color="auto"/>
        </w:pBdr>
        <w:shd w:val="clear" w:color="auto" w:fill="FFFFFF"/>
        <w:spacing w:before="240" w:beforeAutospacing="0" w:after="240" w:afterAutospacing="0" w:line="29" w:lineRule="atLeast"/>
        <w:ind w:left="0" w:right="0" w:firstLine="0"/>
        <w:jc w:val="left"/>
        <w:rPr>
          <w:rFonts w:cs="宋体" w:hint="eastAsia"/>
          <w:color w:val="000000"/>
          <w:sz w:val="32"/>
          <w:szCs w:val="32"/>
        </w:rPr>
      </w:pPr>
      <w:r>
        <w:rPr>
          <w:rFonts w:cs="宋体" w:hint="eastAsia"/>
          <w:color w:val="000000"/>
          <w:sz w:val="32"/>
          <w:szCs w:val="32"/>
        </w:rPr>
        <w:t>　　</w:t>
      </w:r>
      <w:r>
        <w:rPr>
          <w:rStyle w:val="0"/>
          <w:rFonts w:ascii="宋体" w:eastAsia="宋体" w:cs="宋体" w:hint="eastAsia"/>
          <w:bCs/>
          <w:color w:val="000000"/>
          <w:kern w:val="0"/>
          <w:sz w:val="32"/>
          <w:szCs w:val="32"/>
        </w:rPr>
        <w:t>附件：关于进一步吸引京津科技成果在冀转移转化的若干措施</w:t>
      </w:r>
    </w:p>
    <w:p>
      <w:pPr>
        <w:pStyle w:val="92"/>
        <w:pBdr>
          <w:top w:val="none" w:sz="0" w:space="0" w:color="auto"/>
          <w:left w:val="none" w:sz="0" w:space="0" w:color="auto"/>
          <w:bottom w:val="none" w:sz="0" w:space="0" w:color="auto"/>
          <w:right w:val="none" w:sz="0" w:space="0" w:color="auto"/>
        </w:pBdr>
        <w:shd w:val="clear" w:color="auto" w:fill="FFFFFF"/>
        <w:spacing w:before="240" w:beforeAutospacing="0" w:after="240" w:afterAutospacing="0" w:line="29" w:lineRule="atLeast"/>
        <w:ind w:left="0" w:right="0" w:firstLine="0"/>
        <w:jc w:val="center"/>
        <w:rPr>
          <w:rFonts w:cs="宋体" w:hint="eastAsia"/>
          <w:color w:val="000000"/>
          <w:sz w:val="32"/>
          <w:szCs w:val="32"/>
        </w:rPr>
      </w:pPr>
      <w:r>
        <w:rPr>
          <w:rFonts w:cs="宋体" w:hint="eastAsia"/>
          <w:color w:val="000000"/>
          <w:sz w:val="32"/>
          <w:szCs w:val="32"/>
        </w:rPr>
        <w:t>　　　　　　　　　　　　　　　河北省人民政府办公厅</w:t>
      </w:r>
    </w:p>
    <w:p>
      <w:pPr>
        <w:pStyle w:val="92"/>
        <w:pBdr>
          <w:top w:val="none" w:sz="0" w:space="0" w:color="auto"/>
          <w:left w:val="none" w:sz="0" w:space="0" w:color="auto"/>
          <w:bottom w:val="none" w:sz="0" w:space="0" w:color="auto"/>
          <w:right w:val="none" w:sz="0" w:space="0" w:color="auto"/>
        </w:pBdr>
        <w:shd w:val="clear" w:color="auto" w:fill="FFFFFF"/>
        <w:spacing w:before="240" w:beforeAutospacing="0" w:after="240" w:afterAutospacing="0" w:line="29" w:lineRule="atLeast"/>
        <w:ind w:left="0" w:right="0" w:firstLine="0"/>
        <w:jc w:val="center"/>
        <w:rPr>
          <w:rFonts w:cs="宋体" w:hint="eastAsia"/>
          <w:color w:val="000000"/>
          <w:sz w:val="32"/>
          <w:szCs w:val="32"/>
        </w:rPr>
      </w:pPr>
      <w:r>
        <w:rPr>
          <w:rFonts w:cs="宋体" w:hint="eastAsia"/>
          <w:color w:val="000000"/>
          <w:sz w:val="32"/>
          <w:szCs w:val="32"/>
        </w:rPr>
        <w:t>　　　　　　　　　　　　　　　　　　2022年10月21日</w:t>
      </w:r>
    </w:p>
    <w:p>
      <w:pPr>
        <w:widowControl/>
        <w:shd w:val="clear" w:color="auto" w:fill="FFFFFF"/>
        <w:spacing w:line="375" w:lineRule="atLeast"/>
        <w:jc w:val="center"/>
        <w:rPr>
          <w:rFonts w:ascii="宋体" w:eastAsia="宋体" w:cs="宋体"/>
          <w:b/>
          <w:color w:val="000000"/>
          <w:kern w:val="0"/>
          <w:sz w:val="36"/>
          <w:szCs w:val="36"/>
        </w:rPr>
      </w:pPr>
    </w:p>
    <w:p>
      <w:pPr>
        <w:widowControl/>
        <w:shd w:val="clear" w:color="auto" w:fill="FFFFFF"/>
        <w:spacing w:line="375" w:lineRule="atLeast"/>
        <w:jc w:val="center"/>
        <w:rPr>
          <w:rFonts w:ascii="宋体" w:eastAsia="宋体" w:cs="宋体"/>
          <w:b/>
          <w:color w:val="000000"/>
          <w:kern w:val="0"/>
          <w:sz w:val="36"/>
          <w:szCs w:val="36"/>
        </w:rPr>
      </w:pPr>
    </w:p>
    <w:p>
      <w:pPr>
        <w:widowControl/>
        <w:shd w:val="clear" w:color="auto" w:fill="FFFFFF"/>
        <w:spacing w:line="375" w:lineRule="atLeast"/>
        <w:jc w:val="center"/>
        <w:rPr>
          <w:rFonts w:ascii="宋体" w:eastAsia="宋体" w:cs="宋体"/>
          <w:b/>
          <w:color w:val="000000"/>
          <w:kern w:val="0"/>
          <w:sz w:val="36"/>
          <w:szCs w:val="36"/>
        </w:rPr>
      </w:pPr>
    </w:p>
    <w:p>
      <w:pPr>
        <w:widowControl/>
        <w:shd w:val="clear" w:color="auto" w:fill="FFFFFF"/>
        <w:spacing w:line="375" w:lineRule="atLeast"/>
        <w:jc w:val="center"/>
        <w:rPr>
          <w:rFonts w:ascii="宋体" w:eastAsia="宋体" w:cs="宋体"/>
          <w:b/>
          <w:color w:val="000000"/>
          <w:kern w:val="0"/>
          <w:sz w:val="36"/>
          <w:szCs w:val="36"/>
        </w:rPr>
      </w:pPr>
    </w:p>
    <w:p>
      <w:pPr>
        <w:widowControl/>
        <w:shd w:val="clear" w:color="auto" w:fill="FFFFFF"/>
        <w:spacing w:line="375" w:lineRule="atLeast"/>
        <w:jc w:val="center"/>
        <w:rPr>
          <w:rFonts w:ascii="宋体" w:eastAsia="宋体" w:cs="宋体"/>
          <w:b/>
          <w:color w:val="000000"/>
          <w:kern w:val="0"/>
          <w:sz w:val="36"/>
          <w:szCs w:val="36"/>
        </w:rPr>
      </w:pPr>
      <w:bookmarkStart w:id="0" w:name="_GoBack"/>
      <w:bookmarkEnd w:id="0"/>
    </w:p>
    <w:p>
      <w:pPr>
        <w:widowControl/>
        <w:shd w:val="clear" w:color="auto" w:fill="FFFFFF"/>
        <w:spacing w:line="375" w:lineRule="atLeast"/>
        <w:jc w:val="center"/>
        <w:rPr>
          <w:rFonts w:ascii="宋体" w:eastAsia="宋体" w:cs="宋体"/>
          <w:b/>
          <w:color w:val="000000"/>
          <w:kern w:val="0"/>
          <w:sz w:val="36"/>
          <w:szCs w:val="36"/>
        </w:rPr>
      </w:pPr>
    </w:p>
    <w:p>
      <w:pPr>
        <w:widowControl/>
        <w:shd w:val="clear" w:color="auto" w:fill="FFFFFF"/>
        <w:spacing w:line="375" w:lineRule="atLeast"/>
        <w:jc w:val="center"/>
        <w:rPr>
          <w:rFonts w:ascii="宋体" w:eastAsia="宋体" w:cs="宋体"/>
          <w:b/>
          <w:color w:val="000000"/>
          <w:kern w:val="0"/>
          <w:sz w:val="36"/>
          <w:szCs w:val="36"/>
        </w:rPr>
      </w:pPr>
    </w:p>
    <w:p>
      <w:pPr>
        <w:widowControl/>
        <w:shd w:val="clear" w:color="auto" w:fill="FFFFFF"/>
        <w:spacing w:line="375" w:lineRule="atLeast"/>
        <w:jc w:val="center"/>
        <w:rPr>
          <w:rFonts w:ascii="宋体" w:eastAsia="宋体" w:cs="宋体" w:hint="eastAsia"/>
          <w:b/>
          <w:color w:val="000000"/>
          <w:kern w:val="0"/>
          <w:sz w:val="36"/>
          <w:szCs w:val="36"/>
        </w:rPr>
      </w:pPr>
      <w:r>
        <w:rPr>
          <w:rFonts w:ascii="宋体" w:eastAsia="宋体" w:cs="宋体" w:hint="eastAsia"/>
          <w:b/>
          <w:color w:val="000000"/>
          <w:kern w:val="0"/>
          <w:sz w:val="36"/>
          <w:szCs w:val="36"/>
        </w:rPr>
        <w:t>关于进一步吸引京津科技成果在冀转移转化的若干措施</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为吸引更多京津人才、科技成果等高水平创新要素向河北集聚，进一步构建“京津研发、河北转化”模式，“十四五”期间实施如下措施。</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一、鼓励高层次人才到河北创新创业。对全职到我省工作的国家高层次创新型科技人才，在享受各地各单位引人政策基础上，省财政给予每人最高1000万元科研经费补贴和200万元安家费。由各地制定政策，根据其工资性年收入缴纳的个人所得税地方留成总额情况给予奖励。〔责任单位：省委组织部、省财政厅，各市（含定州、辛集市，下同）政府，雄安新区管委会〕</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二、柔性引进高层次人才。鼓励我省企业引进京津高校院所科研人员担任“科技副总”，满足相关条件的，可在河北申报职称评审，专业技术人员职称京津冀互认。对采用兼职、挂职、产学研联合攻关等方式参与我省专精特新“小巨人”企业科技特派团工作的团长和成员，每人每年给予4万元、2万元工作补助，对我省科学技术事业作出重要贡献的优先授予“河北省科学技术合作奖”。（责任单位：省科技厅、省人力资源社会保障厅、省委组织部、省工业和信息化厅）</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三、提供一站式科技人才服务保障。各地对京津科技人才在子女教育、健康医疗、配偶就业等方面加大保障服务力度，并通过多渠道筹集人才公寓，为京津科技人才在冀就业创业提供过渡性住房支持，符合条件的入住人才公寓，前3年免租金，到期后可享受租金半价减免。对引入京津高层次人才的住房需求，采用“一事一议”方式解决。（责任单位：各市政府，雄安新区管委会，省委组织部、省财政厅、省住房城乡建设厅、省人力资源社会保障厅）</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四、开展产业链精准招商。聚焦省主导产业和县域特色产业集群，绘制产业链图谱，面向京津优势科技资源开展招商，提升产业链竞争力和配套服务能力。各地制定政策，对引进的链上企业，3年内给予发展扶持资金，并根据企业对当地经济贡献增量按一定比例给予奖励。（责任单位：省工业和信息化厅、省商务厅、省科技厅，各市政府，雄安新区管委会）</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五、吸引科技型企业落地。各地加大标准化厂房建设规模，采取租金减免或分期出售方式吸引京津科技型企业整体搬迁或新注册落户。提高现有工业用地土地利用率和产出率，在符合规划、不改变用途的前提下，允许企业提高开发建设强度，放宽建筑层数、容积率等指标，简化建设审批程序。（责任单位：各市政府，雄安新区管委会，省自然资源厅）</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六、共建科技研发和中试基地。定向委托京津一流高校院所与河北共建科技创新平台示范基地，承担省级重大研发任务。在各地布局一批中试熟化基地，提供中试熟化、测试认证服务，吸引京津项目、科技成果入驻熟化、孵化，对符合条件的基地项目，给予最高500万元经费资助。（责任单位：省科技厅，各市政府，雄安新区管委会）</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七、设立京津研发飞地。鼓励我省园区、企业在京津设立实验室、产业研究院、企业技术中心等研发机构，借力京津高水平科技资源和高端人才，推进创新要素跨区域链接。符合条件的纳入省级研发平台范围进行管理，按规定给予支持。（责任单位：省科技厅，各市政府，雄安新区管委会）</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八、支持企业吸纳转化重大技术成果。我省企业以技术转让方式吸纳京津科技成果，单项交易额在50万元以上的，按照技术合同实际交易额给予最高10%的后补助，每项最高补助100万元。我省企业与中科院等京津大院大所、龙头企业合作，吸引转化科技成果的，单个项目最高支持500万元。对高价值科技成果转化，采取“一事一议”方式支持。（责任单位：省科技厅）</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九、保障科研人员成果转化权益。科研人员促成京津项目、企业在我省落地的，由各地按照有关规定，给予现金等奖励。科研人员与企业合作实施职务科技成果转化的，可在投产后连续3-5年每年从营业利润中提取不低于5%的比例。将科技成果转化效益作为职称评审的重要内容，对符合绿色通道申报条件人员，不受学历、资历、资格和单位岗位设置数量限制，可直接申报评审相应的职称。（责任单位：省人力资源社会保障厅、省教育厅、省科技厅，各市政府，雄安新区管委会）</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十、打造京津科技成果直通车。围绕主导产业和特色产业，举办科技成果直通车、国家科技计划成果路演行动、京津科研院所高校河北行等品牌对接活动。面向京津每月组织开展路演和对接活动，对接成功的科技成果优先列入省级科技计划支持，省科技投资引导基金有关子基金优先予以支持。（责任单位：省科技厅，各市政府，雄安新区管委会）</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十一、激励技术转移机构开展服务。我省技术转移服务机构促成省内企业转化京津科技成果的，按不高于其促成技术交易额的1%给予补助，年度最高可补助50万元，其中，对促成成果交易作出实际贡献的技术经纪人应按照不低于补助资金的30%予以奖励。（责任单位：省科技厅）</w:t>
      </w:r>
    </w:p>
    <w:p>
      <w:pPr>
        <w:widowControl/>
        <w:shd w:val="clear" w:color="auto" w:fill="FFFFFF"/>
        <w:spacing w:line="375" w:lineRule="atLeast"/>
        <w:jc w:val="left"/>
        <w:rPr>
          <w:rFonts w:ascii="宋体" w:eastAsia="宋体" w:cs="宋体" w:hint="eastAsia"/>
          <w:color w:val="000000"/>
          <w:kern w:val="0"/>
          <w:sz w:val="32"/>
          <w:szCs w:val="32"/>
        </w:rPr>
      </w:pPr>
      <w:r>
        <w:rPr>
          <w:rFonts w:ascii="宋体" w:eastAsia="宋体" w:cs="宋体" w:hint="eastAsia"/>
          <w:color w:val="000000"/>
          <w:kern w:val="0"/>
          <w:sz w:val="32"/>
          <w:szCs w:val="32"/>
        </w:rPr>
        <w:t>　　十二、实施科技成果转化目标考核。将京津技术转化项目合同落地总额作为省级以上开发区发展绩效年度专项考核指标。将吸纳京津技术合同成交额纳入实施科教强省战略考核内容，作为对各市和雄安新区领导班子年度考核的重要指标。（责任单位：省科技厅、省商务厅、省委组织部，各市政府，雄安新区管委会）</w:t>
      </w:r>
    </w:p>
    <w:p>
      <w:pPr>
        <w:rPr>
          <w:color w:val="000000"/>
          <w:sz w:val="32"/>
          <w:szCs w:val="32"/>
        </w:rPr>
      </w:pPr>
    </w:p>
    <w:sectPr>
      <w:pgSz w:w="11906" w:h="16838"/>
      <w:pgMar w:top="1440" w:right="1588" w:bottom="1440"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雅黑">
    <w:panose1 w:val="00000000000000000000"/>
    <w:charset w:val="00"/>
    <w:family w:val="auto"/>
    <w:pitch w:val="variable"/>
    <w:sig w:usb0="00000000" w:usb1="00000000" w:usb2="00000000" w:usb3="00000000" w:csb0="00000000" w:csb1="00000000"/>
  </w:font>
  <w:font w:name="Times New Roman">
    <w:panose1 w:val="02020603050405020304"/>
    <w:charset w:val="00"/>
    <w:family w:val="auto"/>
    <w:pitch w:val="variable"/>
    <w:sig w:usb0="00000A87" w:usb1="00000000" w:usb2="00000000" w:usb3="00000000" w:csb0="400001BF" w:csb1="DFF7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00007A87" w:usb1="80000000" w:usb2="00000008"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等线" w:eastAsia="等线" w:cs="Arial"/>
      <w:kern w:val="2"/>
      <w:sz w:val="21"/>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1"/>
    </w:pPr>
    <w:rPr>
      <w:rFonts w:ascii="宋体" w:eastAsia="宋体"/>
      <w:b/>
      <w:i w:val="0"/>
      <w:caps w:val="0"/>
      <w:smallCaps w:val="0"/>
      <w:strike w:val="0"/>
      <w:dstrike w:val="0"/>
      <w:snapToGrid/>
      <w:vanish w:val="0"/>
      <w:color w:val="auto"/>
      <w:spacing w:val="0"/>
      <w:w w:val="100"/>
      <w:kern w:val="0"/>
      <w:position w:val="0"/>
      <w:sz w:val="36"/>
      <w:szCs w:val="21"/>
      <w:u w:val="none" w:color="auto"/>
      <w:vertAlign w:val="baseline"/>
      <w:em w:val="none"/>
      <w:lang w:val="en-US" w:eastAsia="zh-CN"/>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character" w:styleId="85">
    <w:name w:val="Hyperlink"/>
    <w:basedOn w:val="0"/>
    <w:rPr>
      <w:color w:val="0000FF"/>
      <w:u w:val="single"/>
    </w:rPr>
  </w:style>
  <w:style w:type="paragraph" w:styleId="92">
    <w:name w:val="Normal (Web)"/>
    <w:basedOn w:val="0"/>
    <w:next w:val="15"/>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9"/>
    </w:pPr>
    <w:rPr>
      <w:rFonts w:ascii="宋体" w:eastAsia="宋体"/>
      <w:b w:val="0"/>
      <w:i w:val="0"/>
      <w:caps w:val="0"/>
      <w:smallCaps w:val="0"/>
      <w:strike w:val="0"/>
      <w:dstrike w:val="0"/>
      <w:snapToGrid/>
      <w:vanish w:val="0"/>
      <w:color w:val="auto"/>
      <w:spacing w:val="0"/>
      <w:w w:val="100"/>
      <w:kern w:val="0"/>
      <w:position w:val="0"/>
      <w:sz w:val="24"/>
      <w:szCs w:val="21"/>
      <w:u w:val="none" w:color="auto"/>
      <w:vertAlign w:val="baseline"/>
      <w:em w:val="none"/>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TotalTime>
  <Application>Yozo_Office27021597764231179</Application>
  <Pages>5</Pages>
  <Words>2191</Words>
  <Characters>2217</Characters>
  <Lines>102</Lines>
  <Paragraphs>21</Paragraphs>
  <CharactersWithSpaces>2284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马春丽</dc:creator>
  <cp:lastModifiedBy>user</cp:lastModifiedBy>
  <cp:revision>1</cp:revision>
  <dcterms:created xsi:type="dcterms:W3CDTF">2022-11-02T09:15:00Z</dcterms:created>
  <dcterms:modified xsi:type="dcterms:W3CDTF">2023-08-23T08:38:03Z</dcterms:modified>
</cp:coreProperties>
</file>